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E4" w:rsidRPr="004314C0" w:rsidRDefault="00EF0271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СРАВНИТЕЛЬНАЯ ИНФОРМАЦИЯ</w:t>
      </w:r>
    </w:p>
    <w:p w:rsidR="002F187A" w:rsidRPr="004314C0" w:rsidRDefault="00EF0271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ПО ДОХОДАМ И РАСХОДАМ БЮДЖЕТА 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УСТЬ-НИЦИНСКОГО СЕЛЬСКОГО ПОСЕЛЕНИЯ</w:t>
      </w:r>
    </w:p>
    <w:p w:rsidR="008C5936" w:rsidRPr="004314C0" w:rsidRDefault="002F187A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С МУНИЦИПАЛЬНЫМИ ОБРАЗОВАНИЯМИ СЛОБОДО-ТУРИНСКОГО МУНИЦИПАЛЬНОГО РАЙОНА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B36991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СЛОБОДО-ТУРИНСКОГО СЕЛЬСКОГО ПОСЕЛЕНИЯ, 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НИЦИНСКОГО</w:t>
      </w: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СЕЛЬСКОГО ПОСЕЛЕНИЯ И 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СЛАДКОВСКОГО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СЕЛЬСКОГО ПОСЕЛЕНИЯ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</w:t>
      </w:r>
    </w:p>
    <w:p w:rsidR="00EF0271" w:rsidRPr="004314C0" w:rsidRDefault="003B5228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Н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А 20</w:t>
      </w:r>
      <w:r w:rsidR="000E21A7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2</w:t>
      </w:r>
      <w:r w:rsidR="00AE4E60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2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ГОД</w:t>
      </w:r>
      <w:r w:rsidR="000630DA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И ПЛАНОВЫЙ ПЕРИОД 202</w:t>
      </w:r>
      <w:r w:rsidR="00AE4E60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3</w:t>
      </w:r>
      <w:r w:rsidR="006E5266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C175E9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и</w:t>
      </w:r>
      <w:r w:rsidR="008E3CE3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202</w:t>
      </w:r>
      <w:r w:rsidR="00AE4E60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4</w:t>
      </w:r>
      <w:r w:rsidR="006E5266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ГОДОВ</w:t>
      </w:r>
    </w:p>
    <w:p w:rsidR="00FC07D8" w:rsidRPr="004314C0" w:rsidRDefault="00FC07D8" w:rsidP="00443D0F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EF0271" w:rsidRPr="003D1D60" w:rsidRDefault="00EF0271" w:rsidP="00443D0F">
      <w:pPr>
        <w:spacing w:after="0"/>
        <w:jc w:val="center"/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</w:rPr>
      </w:pPr>
      <w:r w:rsidRPr="003D1D60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Бюджеты сельских поселений, тыс. рублей</w:t>
      </w:r>
    </w:p>
    <w:p w:rsidR="00EF0271" w:rsidRPr="004314C0" w:rsidRDefault="009B44CC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4314C0">
        <w:rPr>
          <w:rFonts w:ascii="Liberation Serif" w:hAnsi="Liberation Serif" w:cs="Times New Roman"/>
          <w:noProof/>
          <w:sz w:val="28"/>
          <w:szCs w:val="28"/>
          <w:highlight w:val="cyan"/>
          <w:lang w:eastAsia="ru-RU"/>
        </w:rPr>
        <w:drawing>
          <wp:inline distT="0" distB="0" distL="0" distR="0" wp14:anchorId="5409C0E3" wp14:editId="15399C95">
            <wp:extent cx="9532620" cy="42824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076" w:rsidRPr="004314C0" w:rsidRDefault="00492076">
      <w:pPr>
        <w:rPr>
          <w:rFonts w:ascii="Liberation Serif" w:hAnsi="Liberation Serif" w:cs="Times New Roman"/>
          <w:sz w:val="28"/>
          <w:szCs w:val="28"/>
        </w:rPr>
        <w:sectPr w:rsidR="00492076" w:rsidRPr="004314C0" w:rsidSect="00492076">
          <w:pgSz w:w="16838" w:h="11906" w:orient="landscape"/>
          <w:pgMar w:top="1701" w:right="993" w:bottom="850" w:left="709" w:header="708" w:footer="708" w:gutter="0"/>
          <w:cols w:space="708"/>
          <w:docGrid w:linePitch="360"/>
        </w:sectPr>
      </w:pPr>
    </w:p>
    <w:p w:rsidR="00EF0271" w:rsidRPr="003D1D60" w:rsidRDefault="00F53EC6" w:rsidP="00443D0F">
      <w:pPr>
        <w:spacing w:after="0"/>
        <w:jc w:val="center"/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</w:rPr>
      </w:pPr>
      <w:r w:rsidRPr="003D1D60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lastRenderedPageBreak/>
        <w:t>Налоговые и неналоговые</w:t>
      </w:r>
      <w:r w:rsidR="00EF0271" w:rsidRPr="003D1D60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 xml:space="preserve"> доход</w:t>
      </w:r>
      <w:r w:rsidR="00736205" w:rsidRPr="003D1D60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 xml:space="preserve">ы сельских поселений, </w:t>
      </w:r>
      <w:r w:rsidR="00EF0271" w:rsidRPr="003D1D60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 xml:space="preserve"> тыс. рублей</w:t>
      </w:r>
    </w:p>
    <w:p w:rsidR="00736205" w:rsidRPr="004314C0" w:rsidRDefault="00736205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EF0271" w:rsidRPr="004314C0" w:rsidRDefault="00443D0F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4314C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5E38CAFB" wp14:editId="43CFEAA1">
            <wp:extent cx="6301740" cy="7856220"/>
            <wp:effectExtent l="0" t="0" r="2286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3EC6" w:rsidRPr="004314C0" w:rsidRDefault="00F53EC6" w:rsidP="00443D0F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EF0271" w:rsidRPr="004314C0" w:rsidRDefault="00EF0271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2D21F6" w:rsidRPr="004314C0" w:rsidRDefault="002D21F6">
      <w:pPr>
        <w:rPr>
          <w:rFonts w:ascii="Liberation Serif" w:hAnsi="Liberation Serif" w:cs="Times New Roman"/>
          <w:sz w:val="28"/>
          <w:szCs w:val="28"/>
        </w:rPr>
      </w:pPr>
      <w:r w:rsidRPr="004314C0">
        <w:rPr>
          <w:rFonts w:ascii="Liberation Serif" w:hAnsi="Liberation Serif" w:cs="Times New Roman"/>
          <w:sz w:val="28"/>
          <w:szCs w:val="28"/>
        </w:rPr>
        <w:br w:type="page"/>
      </w:r>
    </w:p>
    <w:p w:rsidR="00EF0271" w:rsidRPr="00644C01" w:rsidRDefault="00736205" w:rsidP="00DB73CA">
      <w:pPr>
        <w:spacing w:after="0"/>
        <w:ind w:right="-1"/>
        <w:jc w:val="center"/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</w:rPr>
      </w:pPr>
      <w:r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lastRenderedPageBreak/>
        <w:t>РАСХОДЫ СЕЛЬСКИХ ПОСЕЛЕНИЙ</w:t>
      </w:r>
      <w:r w:rsidR="00EC459F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 xml:space="preserve"> ПО РАЗДЕЛАМ </w:t>
      </w:r>
      <w:r w:rsidR="00AE4E60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НА 2022</w:t>
      </w:r>
      <w:r w:rsidR="007E1455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 xml:space="preserve"> ГОД</w:t>
      </w:r>
      <w:r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, ТЫС. РУБЛЕЙ</w:t>
      </w:r>
    </w:p>
    <w:p w:rsidR="00736205" w:rsidRPr="004314C0" w:rsidRDefault="00736205" w:rsidP="00DB73CA">
      <w:pPr>
        <w:spacing w:after="0"/>
        <w:ind w:right="-1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EF0271" w:rsidRPr="004314C0" w:rsidRDefault="00285421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730413">
        <w:rPr>
          <w:rFonts w:ascii="Liberation Serif" w:hAnsi="Liberation Serif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51FC9D5C" wp14:editId="632DA48B">
            <wp:extent cx="6324600" cy="84505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285421" w:rsidRPr="004314C0" w:rsidRDefault="00285421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sectPr w:rsidR="00285421" w:rsidRPr="004314C0" w:rsidSect="00443D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9"/>
    <w:rsid w:val="00001D8E"/>
    <w:rsid w:val="00004BDA"/>
    <w:rsid w:val="00022DCD"/>
    <w:rsid w:val="00033ACA"/>
    <w:rsid w:val="000630DA"/>
    <w:rsid w:val="000C08A0"/>
    <w:rsid w:val="000E0F7A"/>
    <w:rsid w:val="000E21A7"/>
    <w:rsid w:val="000E2D6E"/>
    <w:rsid w:val="0012412A"/>
    <w:rsid w:val="00130EB9"/>
    <w:rsid w:val="00146051"/>
    <w:rsid w:val="00155594"/>
    <w:rsid w:val="00185BC5"/>
    <w:rsid w:val="001D0CDE"/>
    <w:rsid w:val="001D5219"/>
    <w:rsid w:val="00205D82"/>
    <w:rsid w:val="00210D4F"/>
    <w:rsid w:val="00240AD7"/>
    <w:rsid w:val="002417CA"/>
    <w:rsid w:val="002454DC"/>
    <w:rsid w:val="00285421"/>
    <w:rsid w:val="002D21F6"/>
    <w:rsid w:val="002E199A"/>
    <w:rsid w:val="002E60B2"/>
    <w:rsid w:val="002F187A"/>
    <w:rsid w:val="00302247"/>
    <w:rsid w:val="00303980"/>
    <w:rsid w:val="00313A53"/>
    <w:rsid w:val="0034236C"/>
    <w:rsid w:val="003448E8"/>
    <w:rsid w:val="00395306"/>
    <w:rsid w:val="00397773"/>
    <w:rsid w:val="003A0D46"/>
    <w:rsid w:val="003B5228"/>
    <w:rsid w:val="003D1D60"/>
    <w:rsid w:val="003D2C58"/>
    <w:rsid w:val="003E2F64"/>
    <w:rsid w:val="00415A3A"/>
    <w:rsid w:val="00417F6E"/>
    <w:rsid w:val="004314C0"/>
    <w:rsid w:val="00443D0F"/>
    <w:rsid w:val="00483966"/>
    <w:rsid w:val="00492076"/>
    <w:rsid w:val="004961AD"/>
    <w:rsid w:val="004C46EA"/>
    <w:rsid w:val="004C7F04"/>
    <w:rsid w:val="004E5D6F"/>
    <w:rsid w:val="00511006"/>
    <w:rsid w:val="00542194"/>
    <w:rsid w:val="00551B41"/>
    <w:rsid w:val="00551F2F"/>
    <w:rsid w:val="00570F6E"/>
    <w:rsid w:val="00574093"/>
    <w:rsid w:val="0058528C"/>
    <w:rsid w:val="005A667C"/>
    <w:rsid w:val="005F17D1"/>
    <w:rsid w:val="00606350"/>
    <w:rsid w:val="0060729A"/>
    <w:rsid w:val="00620B32"/>
    <w:rsid w:val="006406A7"/>
    <w:rsid w:val="00644C01"/>
    <w:rsid w:val="006556A8"/>
    <w:rsid w:val="006C2895"/>
    <w:rsid w:val="006C6D8C"/>
    <w:rsid w:val="006D62BB"/>
    <w:rsid w:val="006E5266"/>
    <w:rsid w:val="00704802"/>
    <w:rsid w:val="00730413"/>
    <w:rsid w:val="00736205"/>
    <w:rsid w:val="00775758"/>
    <w:rsid w:val="00776F79"/>
    <w:rsid w:val="007E1455"/>
    <w:rsid w:val="00827505"/>
    <w:rsid w:val="008410A3"/>
    <w:rsid w:val="00867C99"/>
    <w:rsid w:val="00870891"/>
    <w:rsid w:val="008C5936"/>
    <w:rsid w:val="008E3CE3"/>
    <w:rsid w:val="00944C0C"/>
    <w:rsid w:val="0094515A"/>
    <w:rsid w:val="00954430"/>
    <w:rsid w:val="00994433"/>
    <w:rsid w:val="00995E04"/>
    <w:rsid w:val="009B44CC"/>
    <w:rsid w:val="009B7854"/>
    <w:rsid w:val="009D2BC2"/>
    <w:rsid w:val="009D75FC"/>
    <w:rsid w:val="009E1DBD"/>
    <w:rsid w:val="00A266C6"/>
    <w:rsid w:val="00A2740D"/>
    <w:rsid w:val="00A2784E"/>
    <w:rsid w:val="00A34E9B"/>
    <w:rsid w:val="00A428B5"/>
    <w:rsid w:val="00A459EB"/>
    <w:rsid w:val="00A468F0"/>
    <w:rsid w:val="00A52786"/>
    <w:rsid w:val="00A72494"/>
    <w:rsid w:val="00A87593"/>
    <w:rsid w:val="00A87C0D"/>
    <w:rsid w:val="00AA5D92"/>
    <w:rsid w:val="00AC6741"/>
    <w:rsid w:val="00AC7616"/>
    <w:rsid w:val="00AD000F"/>
    <w:rsid w:val="00AE4E60"/>
    <w:rsid w:val="00B000DF"/>
    <w:rsid w:val="00B3684B"/>
    <w:rsid w:val="00B36991"/>
    <w:rsid w:val="00B5355B"/>
    <w:rsid w:val="00B720B2"/>
    <w:rsid w:val="00B87B55"/>
    <w:rsid w:val="00BA3B8A"/>
    <w:rsid w:val="00BB0A83"/>
    <w:rsid w:val="00BB6EE4"/>
    <w:rsid w:val="00BC43D1"/>
    <w:rsid w:val="00BC6218"/>
    <w:rsid w:val="00BC71C7"/>
    <w:rsid w:val="00BD14E5"/>
    <w:rsid w:val="00BD2ED9"/>
    <w:rsid w:val="00BE0441"/>
    <w:rsid w:val="00BE5CAD"/>
    <w:rsid w:val="00BF49B9"/>
    <w:rsid w:val="00C175E9"/>
    <w:rsid w:val="00C573EE"/>
    <w:rsid w:val="00C76689"/>
    <w:rsid w:val="00C84987"/>
    <w:rsid w:val="00CC0911"/>
    <w:rsid w:val="00CE3AF6"/>
    <w:rsid w:val="00CF32ED"/>
    <w:rsid w:val="00D05CA0"/>
    <w:rsid w:val="00D42E6D"/>
    <w:rsid w:val="00D52592"/>
    <w:rsid w:val="00D735BA"/>
    <w:rsid w:val="00DA00E3"/>
    <w:rsid w:val="00DA5E61"/>
    <w:rsid w:val="00DB73CA"/>
    <w:rsid w:val="00DC12DC"/>
    <w:rsid w:val="00E12D65"/>
    <w:rsid w:val="00E15799"/>
    <w:rsid w:val="00E23450"/>
    <w:rsid w:val="00E35171"/>
    <w:rsid w:val="00E3767D"/>
    <w:rsid w:val="00E72179"/>
    <w:rsid w:val="00E77788"/>
    <w:rsid w:val="00EC459F"/>
    <w:rsid w:val="00ED1D72"/>
    <w:rsid w:val="00EF006B"/>
    <w:rsid w:val="00EF0271"/>
    <w:rsid w:val="00EF63CC"/>
    <w:rsid w:val="00F4745B"/>
    <w:rsid w:val="00F53EC6"/>
    <w:rsid w:val="00F67452"/>
    <w:rsid w:val="00F860F9"/>
    <w:rsid w:val="00F96FF2"/>
    <w:rsid w:val="00FA0B0C"/>
    <w:rsid w:val="00FA379D"/>
    <w:rsid w:val="00FA5755"/>
    <w:rsid w:val="00FC07D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Усть-Ницинское сельское поселение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2666381330631031E-3"/>
                  <c:y val="-3.03028180196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226655421069971E-3"/>
                  <c:y val="-2.9655990510083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5763389288569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5968159855312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0698027314112293E-2"/>
                  <c:y val="-6.0606060606060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2022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2023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2024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1">
                  <c:v>77355.600000000006</c:v>
                </c:pt>
                <c:pt idx="2">
                  <c:v>77355.600000000006</c:v>
                </c:pt>
                <c:pt idx="4">
                  <c:v>61067.9</c:v>
                </c:pt>
                <c:pt idx="5">
                  <c:v>59549</c:v>
                </c:pt>
                <c:pt idx="7">
                  <c:v>61686.6</c:v>
                </c:pt>
                <c:pt idx="8">
                  <c:v>58618.5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Сладковское сельское поселение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6584989226466596E-2"/>
                  <c:y val="1.7924952177588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678124167332799E-2"/>
                  <c:y val="4.4170114328929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23804788190445E-2"/>
                  <c:y val="6.444923921870877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9116234571398E-2"/>
                  <c:y val="3.0300482902270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905780362586571E-2"/>
                  <c:y val="1.5171023995666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3311933130660824E-2"/>
                  <c:y val="7.0959546426803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2022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2023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2024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Лист1!$C$2:$C$10</c:f>
              <c:numCache>
                <c:formatCode>#,##0.0</c:formatCode>
                <c:ptCount val="9"/>
                <c:pt idx="1">
                  <c:v>57353.2</c:v>
                </c:pt>
                <c:pt idx="2">
                  <c:v>57353.2</c:v>
                </c:pt>
                <c:pt idx="4">
                  <c:v>41436.9</c:v>
                </c:pt>
                <c:pt idx="5">
                  <c:v>41436.9</c:v>
                </c:pt>
                <c:pt idx="7">
                  <c:v>41858.6</c:v>
                </c:pt>
                <c:pt idx="8">
                  <c:v>41858.6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Ницинское сельское поселение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573512843268693E-2"/>
                  <c:y val="3.0949645529184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325746079919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08977804632983E-2"/>
                  <c:y val="2.587310038202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600871533744134E-2"/>
                  <c:y val="5.1381289203256369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144994765342581E-2"/>
                  <c:y val="2.289442467378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9315130572707189E-2"/>
                  <c:y val="2.2959107424739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2022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2023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2024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Лист1!$D$2:$D$10</c:f>
              <c:numCache>
                <c:formatCode>#,##0.0</c:formatCode>
                <c:ptCount val="9"/>
                <c:pt idx="1">
                  <c:v>41195.5</c:v>
                </c:pt>
                <c:pt idx="2">
                  <c:v>41195.5</c:v>
                </c:pt>
                <c:pt idx="4">
                  <c:v>26581</c:v>
                </c:pt>
                <c:pt idx="5">
                  <c:v>26581</c:v>
                </c:pt>
                <c:pt idx="7">
                  <c:v>28361.599999999999</c:v>
                </c:pt>
                <c:pt idx="8">
                  <c:v>28361.599999999999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Слободо-Туринское сельское поселение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2022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2023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2024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Лист1!$E$2:$E$10</c:f>
              <c:numCache>
                <c:formatCode>#,##0.0</c:formatCode>
                <c:ptCount val="9"/>
                <c:pt idx="1">
                  <c:v>151754.9</c:v>
                </c:pt>
                <c:pt idx="2">
                  <c:v>151754.9</c:v>
                </c:pt>
                <c:pt idx="4">
                  <c:v>104441</c:v>
                </c:pt>
                <c:pt idx="5">
                  <c:v>104441</c:v>
                </c:pt>
                <c:pt idx="7">
                  <c:v>105500.6</c:v>
                </c:pt>
                <c:pt idx="8">
                  <c:v>105500.6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967232"/>
        <c:axId val="107969152"/>
        <c:axId val="0"/>
      </c:bar3DChart>
      <c:catAx>
        <c:axId val="107967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969152"/>
        <c:crosses val="autoZero"/>
        <c:auto val="1"/>
        <c:lblAlgn val="ctr"/>
        <c:lblOffset val="100"/>
        <c:noMultiLvlLbl val="0"/>
      </c:catAx>
      <c:valAx>
        <c:axId val="107969152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96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27476612007352"/>
          <c:y val="0.26436864710093055"/>
          <c:w val="0.21272525286857127"/>
          <c:h val="0.35180411167465275"/>
        </c:manualLayout>
      </c:layout>
      <c:overlay val="0"/>
      <c:spPr>
        <a:solidFill>
          <a:schemeClr val="accent6">
            <a:lumMod val="20000"/>
            <a:lumOff val="80000"/>
          </a:schemeClr>
        </a:solidFill>
      </c:spPr>
      <c:txPr>
        <a:bodyPr/>
        <a:lstStyle/>
        <a:p>
          <a:pPr>
            <a:defRPr sz="12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Усть-Ницинское сельское поселение</c:v>
                </c:pt>
              </c:strCache>
            </c:strRef>
          </c:tx>
          <c:invertIfNegative val="0"/>
          <c:dLbls>
            <c:spPr>
              <a:solidFill>
                <a:schemeClr val="accent1">
                  <a:lumMod val="40000"/>
                  <a:lumOff val="6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2022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2023</c:v>
                </c:pt>
                <c:pt idx="4">
                  <c:v>налоговые доходы</c:v>
                </c:pt>
                <c:pt idx="5">
                  <c:v>неналоговые доходы</c:v>
                </c:pt>
                <c:pt idx="6">
                  <c:v>2024</c:v>
                </c:pt>
                <c:pt idx="7">
                  <c:v>налоговые доходы</c:v>
                </c:pt>
                <c:pt idx="8">
                  <c:v>неналоговые доходы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1">
                  <c:v>12407</c:v>
                </c:pt>
                <c:pt idx="2">
                  <c:v>188.5</c:v>
                </c:pt>
                <c:pt idx="4">
                  <c:v>12916</c:v>
                </c:pt>
                <c:pt idx="5">
                  <c:v>220</c:v>
                </c:pt>
                <c:pt idx="7">
                  <c:v>13396</c:v>
                </c:pt>
                <c:pt idx="8">
                  <c:v>229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Сладковское сельское поселение</c:v>
                </c:pt>
              </c:strCache>
            </c:strRef>
          </c:tx>
          <c:invertIfNegative val="0"/>
          <c:dLbls>
            <c:spPr>
              <a:solidFill>
                <a:schemeClr val="accent6">
                  <a:lumMod val="7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2022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2023</c:v>
                </c:pt>
                <c:pt idx="4">
                  <c:v>налоговые доходы</c:v>
                </c:pt>
                <c:pt idx="5">
                  <c:v>неналоговые доходы</c:v>
                </c:pt>
                <c:pt idx="6">
                  <c:v>2024</c:v>
                </c:pt>
                <c:pt idx="7">
                  <c:v>налоговые доходы</c:v>
                </c:pt>
                <c:pt idx="8">
                  <c:v>неналоговые доходы</c:v>
                </c:pt>
              </c:strCache>
            </c:strRef>
          </c:cat>
          <c:val>
            <c:numRef>
              <c:f>Лист1!$C$2:$C$10</c:f>
              <c:numCache>
                <c:formatCode>#,##0.0</c:formatCode>
                <c:ptCount val="9"/>
                <c:pt idx="1">
                  <c:v>6099</c:v>
                </c:pt>
                <c:pt idx="2">
                  <c:v>533</c:v>
                </c:pt>
                <c:pt idx="4">
                  <c:v>6461</c:v>
                </c:pt>
                <c:pt idx="5">
                  <c:v>555</c:v>
                </c:pt>
                <c:pt idx="7">
                  <c:v>6698</c:v>
                </c:pt>
                <c:pt idx="8">
                  <c:v>577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Ницинское сельское поселение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solidFill>
                <a:srgbClr val="92D05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2022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2023</c:v>
                </c:pt>
                <c:pt idx="4">
                  <c:v>налоговые доходы</c:v>
                </c:pt>
                <c:pt idx="5">
                  <c:v>неналоговые доходы</c:v>
                </c:pt>
                <c:pt idx="6">
                  <c:v>2024</c:v>
                </c:pt>
                <c:pt idx="7">
                  <c:v>налоговые доходы</c:v>
                </c:pt>
                <c:pt idx="8">
                  <c:v>неналоговые доходы</c:v>
                </c:pt>
              </c:strCache>
            </c:strRef>
          </c:cat>
          <c:val>
            <c:numRef>
              <c:f>Лист1!$D$2:$D$10</c:f>
              <c:numCache>
                <c:formatCode>#,##0.0</c:formatCode>
                <c:ptCount val="9"/>
                <c:pt idx="1">
                  <c:v>3890</c:v>
                </c:pt>
                <c:pt idx="2">
                  <c:v>120</c:v>
                </c:pt>
                <c:pt idx="4">
                  <c:v>4136</c:v>
                </c:pt>
                <c:pt idx="5">
                  <c:v>125</c:v>
                </c:pt>
                <c:pt idx="7">
                  <c:v>4295</c:v>
                </c:pt>
                <c:pt idx="8">
                  <c:v>130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Слободо-Туринское сельское поселение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spPr>
              <a:solidFill>
                <a:schemeClr val="accent6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2022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2023</c:v>
                </c:pt>
                <c:pt idx="4">
                  <c:v>налоговые доходы</c:v>
                </c:pt>
                <c:pt idx="5">
                  <c:v>неналоговые доходы</c:v>
                </c:pt>
                <c:pt idx="6">
                  <c:v>2024</c:v>
                </c:pt>
                <c:pt idx="7">
                  <c:v>налоговые доходы</c:v>
                </c:pt>
                <c:pt idx="8">
                  <c:v>неналоговые доходы</c:v>
                </c:pt>
              </c:strCache>
            </c:strRef>
          </c:cat>
          <c:val>
            <c:numRef>
              <c:f>Лист1!$E$2:$E$10</c:f>
              <c:numCache>
                <c:formatCode>#,##0.0</c:formatCode>
                <c:ptCount val="9"/>
                <c:pt idx="1">
                  <c:v>20974</c:v>
                </c:pt>
                <c:pt idx="2">
                  <c:v>468.5</c:v>
                </c:pt>
                <c:pt idx="4">
                  <c:v>22124</c:v>
                </c:pt>
                <c:pt idx="5">
                  <c:v>487</c:v>
                </c:pt>
                <c:pt idx="7">
                  <c:v>23169</c:v>
                </c:pt>
                <c:pt idx="8">
                  <c:v>507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0745472"/>
        <c:axId val="110747008"/>
      </c:barChart>
      <c:catAx>
        <c:axId val="110745472"/>
        <c:scaling>
          <c:orientation val="minMax"/>
        </c:scaling>
        <c:delete val="0"/>
        <c:axPos val="l"/>
        <c:majorTickMark val="none"/>
        <c:minorTickMark val="none"/>
        <c:tickLblPos val="nextTo"/>
        <c:crossAx val="110747008"/>
        <c:crosses val="autoZero"/>
        <c:auto val="1"/>
        <c:lblAlgn val="ctr"/>
        <c:lblOffset val="100"/>
        <c:noMultiLvlLbl val="0"/>
      </c:catAx>
      <c:valAx>
        <c:axId val="110747008"/>
        <c:scaling>
          <c:orientation val="minMax"/>
        </c:scaling>
        <c:delete val="0"/>
        <c:axPos val="b"/>
        <c:numFmt formatCode="#,##0.0" sourceLinked="1"/>
        <c:majorTickMark val="none"/>
        <c:minorTickMark val="none"/>
        <c:tickLblPos val="nextTo"/>
        <c:crossAx val="11074547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b"/>
      <c:overlay val="0"/>
      <c:spPr>
        <a:solidFill>
          <a:schemeClr val="accent6">
            <a:lumMod val="20000"/>
            <a:lumOff val="80000"/>
          </a:schemeClr>
        </a:solidFill>
      </c:sp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</c:spPr>
  <c:txPr>
    <a:bodyPr/>
    <a:lstStyle/>
    <a:p>
      <a:pPr>
        <a:defRPr sz="12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657638427726656"/>
          <c:y val="7.0354934217532999E-2"/>
          <c:w val="0.56129525977927452"/>
          <c:h val="0.902593668126921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Усть-Ницинское сельское поселение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2022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1">
                  <c:v>13657.8</c:v>
                </c:pt>
                <c:pt idx="2">
                  <c:v>302.8</c:v>
                </c:pt>
                <c:pt idx="3">
                  <c:v>7754</c:v>
                </c:pt>
                <c:pt idx="4">
                  <c:v>13698</c:v>
                </c:pt>
                <c:pt idx="5">
                  <c:v>7748</c:v>
                </c:pt>
                <c:pt idx="6">
                  <c:v>14</c:v>
                </c:pt>
                <c:pt idx="7">
                  <c:v>33416</c:v>
                </c:pt>
                <c:pt idx="8">
                  <c:v>11</c:v>
                </c:pt>
                <c:pt idx="9">
                  <c:v>693</c:v>
                </c:pt>
                <c:pt idx="10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Сладковское сельское поселение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2022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1">
                  <c:v>13332.7</c:v>
                </c:pt>
                <c:pt idx="2">
                  <c:v>302.8</c:v>
                </c:pt>
                <c:pt idx="3">
                  <c:v>105</c:v>
                </c:pt>
                <c:pt idx="4">
                  <c:v>8306</c:v>
                </c:pt>
                <c:pt idx="5">
                  <c:v>7478.2</c:v>
                </c:pt>
                <c:pt idx="6">
                  <c:v>8</c:v>
                </c:pt>
                <c:pt idx="7">
                  <c:v>27668.5</c:v>
                </c:pt>
                <c:pt idx="8">
                  <c:v>7</c:v>
                </c:pt>
                <c:pt idx="9">
                  <c:v>110</c:v>
                </c:pt>
                <c:pt idx="10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Ницинское сельское поселение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2022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Лист1!$D$2:$D$12</c:f>
              <c:numCache>
                <c:formatCode>#,##0.0</c:formatCode>
                <c:ptCount val="11"/>
                <c:pt idx="1">
                  <c:v>10272.5</c:v>
                </c:pt>
                <c:pt idx="2">
                  <c:v>121.2</c:v>
                </c:pt>
                <c:pt idx="3">
                  <c:v>1025</c:v>
                </c:pt>
                <c:pt idx="4">
                  <c:v>8939</c:v>
                </c:pt>
                <c:pt idx="5">
                  <c:v>5752.5</c:v>
                </c:pt>
                <c:pt idx="6">
                  <c:v>86</c:v>
                </c:pt>
                <c:pt idx="7">
                  <c:v>14899.3</c:v>
                </c:pt>
                <c:pt idx="8">
                  <c:v>25</c:v>
                </c:pt>
                <c:pt idx="9">
                  <c:v>50</c:v>
                </c:pt>
                <c:pt idx="10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Слободо-Туринское сельское поселение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1"/>
              <c:layout>
                <c:manualLayout>
                  <c:x val="2.008032128514056E-3"/>
                  <c:y val="1.50285542530808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4216867469879519E-2"/>
                  <c:y val="-1.8034265103697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2022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Лист1!$E$2:$E$12</c:f>
              <c:numCache>
                <c:formatCode>#,##0.0</c:formatCode>
                <c:ptCount val="11"/>
                <c:pt idx="1">
                  <c:v>25101.8</c:v>
                </c:pt>
                <c:pt idx="2">
                  <c:v>605.6</c:v>
                </c:pt>
                <c:pt idx="3">
                  <c:v>378</c:v>
                </c:pt>
                <c:pt idx="4">
                  <c:v>23655.3</c:v>
                </c:pt>
                <c:pt idx="5">
                  <c:v>55814.7</c:v>
                </c:pt>
                <c:pt idx="6">
                  <c:v>96</c:v>
                </c:pt>
                <c:pt idx="7">
                  <c:v>45427.5</c:v>
                </c:pt>
                <c:pt idx="8">
                  <c:v>31</c:v>
                </c:pt>
                <c:pt idx="9">
                  <c:v>490</c:v>
                </c:pt>
                <c:pt idx="10">
                  <c:v>155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142208"/>
        <c:axId val="136209536"/>
      </c:barChart>
      <c:catAx>
        <c:axId val="13614220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solidFill>
            <a:schemeClr val="accent6">
              <a:lumMod val="60000"/>
              <a:lumOff val="40000"/>
            </a:schemeClr>
          </a:solidFill>
        </c:spPr>
        <c:txPr>
          <a:bodyPr/>
          <a:lstStyle/>
          <a:p>
            <a:pPr>
              <a:defRPr sz="1200" b="1" i="1"/>
            </a:pPr>
            <a:endParaRPr lang="ru-RU"/>
          </a:p>
        </c:txPr>
        <c:crossAx val="136209536"/>
        <c:crosses val="autoZero"/>
        <c:auto val="1"/>
        <c:lblAlgn val="ctr"/>
        <c:lblOffset val="100"/>
        <c:noMultiLvlLbl val="0"/>
      </c:catAx>
      <c:valAx>
        <c:axId val="136209536"/>
        <c:scaling>
          <c:orientation val="minMax"/>
        </c:scaling>
        <c:delete val="1"/>
        <c:axPos val="b"/>
        <c:numFmt formatCode="#,##0.0" sourceLinked="1"/>
        <c:majorTickMark val="none"/>
        <c:minorTickMark val="none"/>
        <c:tickLblPos val="nextTo"/>
        <c:crossAx val="136142208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FF0000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522A-57C3-4F21-8C47-14B24D9F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76</cp:lastModifiedBy>
  <cp:revision>79</cp:revision>
  <cp:lastPrinted>2018-04-13T13:59:00Z</cp:lastPrinted>
  <dcterms:created xsi:type="dcterms:W3CDTF">2016-08-25T07:32:00Z</dcterms:created>
  <dcterms:modified xsi:type="dcterms:W3CDTF">2022-04-11T05:50:00Z</dcterms:modified>
</cp:coreProperties>
</file>