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 I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2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первом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 в адрес администрации Усть-Ницинского сельского поселения поступило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непосредственно от заявителя.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</w:t>
      </w:r>
      <w:r>
        <w:rPr>
          <w:rFonts w:ascii="Times New Roman" w:hAnsi="Times New Roman"/>
          <w:b/>
          <w:bCs/>
          <w:i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по 31.</w:t>
      </w:r>
      <w:r>
        <w:rPr>
          <w:rFonts w:ascii="Times New Roman" w:hAnsi="Times New Roman"/>
          <w:b/>
          <w:bCs/>
          <w:i/>
          <w:sz w:val="24"/>
          <w:szCs w:val="24"/>
        </w:rPr>
        <w:t>03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Дорожная деятельность –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граждан, поступивш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ему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первом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года, заявител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дан ответ разъяснительного характера.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адрес администрации Усть-Ницинского сельского поселения обращений граждан, об имеющихся, по их мнению, фактах коррупции в действиях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LibreOffice/7.2.2.2$Windows_X86_64 LibreOffice_project/02b2acce88a210515b4a5bb2e46cbfb63fe97d56</Application>
  <AppVersion>15.0000</AppVersion>
  <Pages>1</Pages>
  <Words>112</Words>
  <Characters>807</Characters>
  <CharactersWithSpaces>923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2019-02-07T10:03:00Z</cp:lastPrinted>
  <dcterms:modified xsi:type="dcterms:W3CDTF">2022-04-04T09:49:12Z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