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EF175A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31.12</w:t>
      </w:r>
      <w:r w:rsidR="00CE7ABB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.2021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9553EF" w:rsidRDefault="00F6125C" w:rsidP="009553EF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</w:pPr>
                            <w:r w:rsidRPr="009553EF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  <w:t>Исполнение бюджета – это этап бюджетного</w:t>
                            </w: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553EF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  <w:t>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9553EF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9553EF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 w:rsidRPr="009553EF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  <w:t>Усть-Ницинского</w:t>
                            </w:r>
                            <w:proofErr w:type="spellEnd"/>
                            <w:r w:rsidR="009553EF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  <w:highlight w:val="magenta"/>
                              </w:rPr>
                              <w:t xml:space="preserve"> сельского поселения</w:t>
                            </w:r>
                          </w:p>
                          <w:p w:rsidR="00F6125C" w:rsidRDefault="00F6125C" w:rsidP="00955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9553EF" w:rsidRDefault="00F6125C" w:rsidP="009553EF">
                      <w:pPr>
                        <w:spacing w:after="0"/>
                        <w:ind w:firstLine="709"/>
                        <w:jc w:val="center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</w:pPr>
                      <w:r w:rsidRPr="009553EF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  <w:t>Исполнение бюджета – это этап бюджетного</w:t>
                      </w: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9553EF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  <w:t>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9553EF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9553EF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 w:rsidRPr="009553EF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  <w:t>Усть-Ницинского</w:t>
                      </w:r>
                      <w:proofErr w:type="spellEnd"/>
                      <w:r w:rsidR="009553EF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  <w:highlight w:val="magenta"/>
                        </w:rPr>
                        <w:t xml:space="preserve"> сельского поселения</w:t>
                      </w:r>
                    </w:p>
                    <w:p w:rsidR="00F6125C" w:rsidRDefault="00F6125C" w:rsidP="009553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9553EF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lastRenderedPageBreak/>
        <w:t>Об</w:t>
      </w:r>
      <w:r w:rsidR="00F6125C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щая характеристика доходов и р</w:t>
      </w:r>
      <w:r w:rsidR="00DE1D31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а</w:t>
      </w:r>
      <w:r w:rsidR="00F6125C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EF175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EF175A">
              <w:rPr>
                <w:rFonts w:ascii="Liberation Serif" w:hAnsi="Liberation Serif" w:cs="Times New Roman"/>
                <w:sz w:val="28"/>
                <w:szCs w:val="28"/>
              </w:rPr>
              <w:t>2020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EF175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за 20</w:t>
            </w:r>
            <w:r w:rsidR="00CE7ABB"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EF175A" w:rsidRPr="00DE1D31" w:rsidTr="00552735">
        <w:tc>
          <w:tcPr>
            <w:tcW w:w="2338" w:type="dxa"/>
          </w:tcPr>
          <w:p w:rsidR="00EF175A" w:rsidRPr="009B42FB" w:rsidRDefault="00EF175A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EF175A" w:rsidRDefault="00EF175A" w:rsidP="00F97750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6413</w:t>
            </w:r>
            <w:r w:rsidR="00F97750">
              <w:rPr>
                <w:rFonts w:ascii="Liberation Serif" w:hAnsi="Liberation Serif" w:cs="Times New Roman"/>
                <w:sz w:val="32"/>
                <w:szCs w:val="32"/>
              </w:rPr>
              <w:t>2,9</w:t>
            </w:r>
          </w:p>
        </w:tc>
        <w:tc>
          <w:tcPr>
            <w:tcW w:w="1842" w:type="dxa"/>
          </w:tcPr>
          <w:p w:rsidR="00EF175A" w:rsidRDefault="00EF175A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100,11</w:t>
            </w:r>
          </w:p>
        </w:tc>
        <w:tc>
          <w:tcPr>
            <w:tcW w:w="1985" w:type="dxa"/>
          </w:tcPr>
          <w:p w:rsidR="00EF175A" w:rsidRPr="009B42FB" w:rsidRDefault="00EF175A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80698</w:t>
            </w:r>
            <w:r w:rsidR="00F97750">
              <w:rPr>
                <w:rFonts w:ascii="Liberation Serif" w:hAnsi="Liberation Serif" w:cs="Times New Roman"/>
                <w:sz w:val="32"/>
                <w:szCs w:val="32"/>
              </w:rPr>
              <w:t>,4</w:t>
            </w:r>
          </w:p>
        </w:tc>
        <w:tc>
          <w:tcPr>
            <w:tcW w:w="1808" w:type="dxa"/>
          </w:tcPr>
          <w:p w:rsidR="00EF175A" w:rsidRPr="009B42FB" w:rsidRDefault="00EF175A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101,24</w:t>
            </w:r>
          </w:p>
        </w:tc>
      </w:tr>
      <w:tr w:rsidR="00EF175A" w:rsidRPr="00DE1D31" w:rsidTr="00552735">
        <w:tc>
          <w:tcPr>
            <w:tcW w:w="2338" w:type="dxa"/>
          </w:tcPr>
          <w:p w:rsidR="00EF175A" w:rsidRPr="009B42FB" w:rsidRDefault="00EF175A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EF175A" w:rsidRDefault="003A3420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59627,9</w:t>
            </w:r>
          </w:p>
        </w:tc>
        <w:tc>
          <w:tcPr>
            <w:tcW w:w="1842" w:type="dxa"/>
          </w:tcPr>
          <w:p w:rsidR="00EF175A" w:rsidRDefault="00EF175A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93,08</w:t>
            </w:r>
          </w:p>
        </w:tc>
        <w:tc>
          <w:tcPr>
            <w:tcW w:w="1985" w:type="dxa"/>
          </w:tcPr>
          <w:p w:rsidR="00EF175A" w:rsidRPr="009B42FB" w:rsidRDefault="00EF175A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77590</w:t>
            </w:r>
            <w:r w:rsidR="00F97750">
              <w:rPr>
                <w:rFonts w:ascii="Liberation Serif" w:hAnsi="Liberation Serif" w:cs="Times New Roman"/>
                <w:sz w:val="32"/>
                <w:szCs w:val="32"/>
              </w:rPr>
              <w:t>,5</w:t>
            </w:r>
          </w:p>
        </w:tc>
        <w:tc>
          <w:tcPr>
            <w:tcW w:w="1808" w:type="dxa"/>
          </w:tcPr>
          <w:p w:rsidR="00EF175A" w:rsidRPr="009B42FB" w:rsidRDefault="00EF175A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97,06</w:t>
            </w:r>
          </w:p>
        </w:tc>
      </w:tr>
      <w:tr w:rsidR="00EF175A" w:rsidRPr="00DE1D31" w:rsidTr="00552735">
        <w:tc>
          <w:tcPr>
            <w:tcW w:w="2338" w:type="dxa"/>
          </w:tcPr>
          <w:p w:rsidR="00EF175A" w:rsidRPr="009B42FB" w:rsidRDefault="00EF175A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EF175A" w:rsidRDefault="00EF175A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+4505</w:t>
            </w:r>
          </w:p>
        </w:tc>
        <w:tc>
          <w:tcPr>
            <w:tcW w:w="1842" w:type="dxa"/>
          </w:tcPr>
          <w:p w:rsidR="00EF175A" w:rsidRPr="009B42FB" w:rsidRDefault="00EF175A" w:rsidP="008E766F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EF175A" w:rsidRPr="009B42FB" w:rsidRDefault="00EF175A" w:rsidP="00EF175A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9B42FB"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 w:rsidR="00F97750">
              <w:rPr>
                <w:rFonts w:ascii="Liberation Serif" w:hAnsi="Liberation Serif" w:cs="Times New Roman"/>
                <w:sz w:val="32"/>
                <w:szCs w:val="32"/>
              </w:rPr>
              <w:t>3107,9</w:t>
            </w:r>
          </w:p>
        </w:tc>
        <w:tc>
          <w:tcPr>
            <w:tcW w:w="1808" w:type="dxa"/>
          </w:tcPr>
          <w:p w:rsidR="00EF175A" w:rsidRPr="009B42FB" w:rsidRDefault="00EF175A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9553EF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i/>
          <w:color w:val="C00000"/>
          <w:spacing w:val="2"/>
          <w:sz w:val="40"/>
          <w:szCs w:val="40"/>
        </w:rPr>
      </w:pPr>
      <w:r w:rsidRPr="009553EF">
        <w:rPr>
          <w:rFonts w:ascii="Liberation Serif" w:eastAsia="Calibri" w:hAnsi="Liberation Serif" w:cs="Times New Roman"/>
          <w:b/>
          <w:i/>
          <w:color w:val="C00000"/>
          <w:sz w:val="40"/>
          <w:szCs w:val="40"/>
          <w:highlight w:val="yellow"/>
        </w:rPr>
        <w:lastRenderedPageBreak/>
        <w:t>Дох</w:t>
      </w:r>
      <w:r w:rsidR="00F3178D" w:rsidRPr="009553EF">
        <w:rPr>
          <w:rFonts w:ascii="Liberation Serif" w:eastAsia="Calibri" w:hAnsi="Liberation Serif" w:cs="Times New Roman"/>
          <w:b/>
          <w:i/>
          <w:color w:val="C00000"/>
          <w:sz w:val="40"/>
          <w:szCs w:val="40"/>
          <w:highlight w:val="yellow"/>
        </w:rPr>
        <w:t>оды бюджета</w:t>
      </w:r>
      <w:r w:rsidR="009B42FB" w:rsidRPr="009553EF">
        <w:rPr>
          <w:rFonts w:ascii="Liberation Serif" w:eastAsia="Calibri" w:hAnsi="Liberation Serif" w:cs="Times New Roman"/>
          <w:b/>
          <w:i/>
          <w:color w:val="C00000"/>
          <w:sz w:val="40"/>
          <w:szCs w:val="40"/>
          <w:highlight w:val="yellow"/>
        </w:rPr>
        <w:t xml:space="preserve"> </w:t>
      </w:r>
      <w:proofErr w:type="spellStart"/>
      <w:r w:rsidR="009B42FB" w:rsidRPr="009553EF">
        <w:rPr>
          <w:rFonts w:ascii="Liberation Serif" w:eastAsia="Calibri" w:hAnsi="Liberation Serif" w:cs="Times New Roman"/>
          <w:b/>
          <w:i/>
          <w:color w:val="C00000"/>
          <w:sz w:val="40"/>
          <w:szCs w:val="40"/>
          <w:highlight w:val="yellow"/>
        </w:rPr>
        <w:t>Усть-Ницинского</w:t>
      </w:r>
      <w:proofErr w:type="spellEnd"/>
      <w:r w:rsidR="009B42FB" w:rsidRPr="009553EF">
        <w:rPr>
          <w:rFonts w:ascii="Liberation Serif" w:eastAsia="Calibri" w:hAnsi="Liberation Serif" w:cs="Times New Roman"/>
          <w:b/>
          <w:i/>
          <w:color w:val="C00000"/>
          <w:sz w:val="40"/>
          <w:szCs w:val="40"/>
          <w:highlight w:val="yellow"/>
        </w:rPr>
        <w:t xml:space="preserve"> сельского поселения</w:t>
      </w:r>
    </w:p>
    <w:p w:rsidR="00F3178D" w:rsidRPr="00804421" w:rsidRDefault="00F3178D" w:rsidP="00670859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Объемы поступления доходов 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на </w:t>
      </w:r>
      <w:r w:rsidR="00EF175A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31.12</w:t>
      </w:r>
      <w:r w:rsidR="001D1DD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.202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1</w:t>
      </w:r>
      <w:r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3D6394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а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9B42F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  </w:t>
      </w:r>
      <w:r w:rsidR="00D60C8B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в сравнении с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</w:t>
      </w:r>
      <w:r w:rsidR="006E71E5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предыдущим финансовым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20</w:t>
      </w:r>
      <w:r w:rsidR="00F214E8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20</w:t>
      </w:r>
      <w:r w:rsidR="00CE555D" w:rsidRPr="00804421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 xml:space="preserve"> год</w:t>
      </w:r>
      <w:r w:rsidR="006E71E5">
        <w:rPr>
          <w:rFonts w:ascii="Liberation Serif" w:eastAsia="Calibri" w:hAnsi="Liberation Serif" w:cs="Times New Roman"/>
          <w:b/>
          <w:i/>
          <w:color w:val="00B0F0"/>
          <w:spacing w:val="2"/>
          <w:sz w:val="40"/>
          <w:szCs w:val="40"/>
        </w:rPr>
        <w:t>ом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789"/>
      </w:tblGrid>
      <w:tr w:rsidR="004E3740" w:rsidTr="00670859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789" w:type="dxa"/>
            <w:vMerge w:val="restart"/>
          </w:tcPr>
          <w:p w:rsidR="004E3740" w:rsidRDefault="004E374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</w:t>
            </w:r>
            <w:r w:rsidR="00F214E8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670859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789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F97750" w:rsidTr="00670859">
        <w:tc>
          <w:tcPr>
            <w:tcW w:w="3011" w:type="dxa"/>
          </w:tcPr>
          <w:p w:rsidR="00F97750" w:rsidRPr="00D43145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F97750" w:rsidRPr="00D43145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79713</w:t>
            </w:r>
            <w:r w:rsidR="003A3420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,1</w:t>
            </w:r>
          </w:p>
        </w:tc>
        <w:tc>
          <w:tcPr>
            <w:tcW w:w="1349" w:type="dxa"/>
          </w:tcPr>
          <w:p w:rsidR="00F97750" w:rsidRPr="00D43145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80698</w:t>
            </w:r>
            <w:r w:rsidR="003A3420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,4</w:t>
            </w:r>
          </w:p>
        </w:tc>
        <w:tc>
          <w:tcPr>
            <w:tcW w:w="1643" w:type="dxa"/>
          </w:tcPr>
          <w:p w:rsidR="00F97750" w:rsidRPr="00D43145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101,24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64132,9</w:t>
            </w:r>
          </w:p>
        </w:tc>
        <w:tc>
          <w:tcPr>
            <w:tcW w:w="1789" w:type="dxa"/>
          </w:tcPr>
          <w:p w:rsidR="00F97750" w:rsidRPr="00D43145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125,83</w:t>
            </w:r>
          </w:p>
        </w:tc>
      </w:tr>
      <w:tr w:rsidR="00F97750" w:rsidTr="00670859">
        <w:tc>
          <w:tcPr>
            <w:tcW w:w="3011" w:type="dxa"/>
          </w:tcPr>
          <w:p w:rsidR="00F97750" w:rsidRPr="00D43145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F97750" w:rsidRPr="00D43145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12168</w:t>
            </w:r>
          </w:p>
        </w:tc>
        <w:tc>
          <w:tcPr>
            <w:tcW w:w="1349" w:type="dxa"/>
          </w:tcPr>
          <w:p w:rsidR="00F97750" w:rsidRPr="00D43145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13153</w:t>
            </w:r>
            <w:r w:rsidR="00D33EFA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,4</w:t>
            </w:r>
          </w:p>
        </w:tc>
        <w:tc>
          <w:tcPr>
            <w:tcW w:w="1643" w:type="dxa"/>
          </w:tcPr>
          <w:p w:rsidR="00F97750" w:rsidRPr="00D43145" w:rsidRDefault="00F97750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108,10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12186,9</w:t>
            </w:r>
          </w:p>
        </w:tc>
        <w:tc>
          <w:tcPr>
            <w:tcW w:w="1789" w:type="dxa"/>
          </w:tcPr>
          <w:p w:rsidR="00F97750" w:rsidRPr="00D43145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107,93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374</w:t>
            </w:r>
          </w:p>
        </w:tc>
        <w:tc>
          <w:tcPr>
            <w:tcW w:w="1349" w:type="dxa"/>
          </w:tcPr>
          <w:p w:rsidR="00F97750" w:rsidRDefault="003A342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375,9</w:t>
            </w:r>
          </w:p>
        </w:tc>
        <w:tc>
          <w:tcPr>
            <w:tcW w:w="1643" w:type="dxa"/>
          </w:tcPr>
          <w:p w:rsidR="00F97750" w:rsidRDefault="00F9775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100,50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365</w:t>
            </w:r>
          </w:p>
        </w:tc>
        <w:tc>
          <w:tcPr>
            <w:tcW w:w="178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103,01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Акцизы на нефтепродукты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8184</w:t>
            </w:r>
          </w:p>
        </w:tc>
        <w:tc>
          <w:tcPr>
            <w:tcW w:w="1349" w:type="dxa"/>
          </w:tcPr>
          <w:p w:rsidR="00F97750" w:rsidRDefault="00F9775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8974</w:t>
            </w:r>
            <w:r w:rsidR="003A342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,4</w:t>
            </w:r>
          </w:p>
        </w:tc>
        <w:tc>
          <w:tcPr>
            <w:tcW w:w="1643" w:type="dxa"/>
          </w:tcPr>
          <w:p w:rsidR="00F97750" w:rsidRDefault="00F97750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109,66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7713,7</w:t>
            </w:r>
          </w:p>
        </w:tc>
        <w:tc>
          <w:tcPr>
            <w:tcW w:w="1789" w:type="dxa"/>
          </w:tcPr>
          <w:p w:rsidR="00F97750" w:rsidRDefault="00F97750" w:rsidP="00F5309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116,3</w:t>
            </w:r>
            <w:r w:rsidR="00D33EFA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налог, взимаемый с налогоплательщиков, применяющих упрощенную систему налогообложения</w:t>
            </w:r>
          </w:p>
        </w:tc>
        <w:tc>
          <w:tcPr>
            <w:tcW w:w="1349" w:type="dxa"/>
          </w:tcPr>
          <w:p w:rsidR="00F97750" w:rsidRDefault="00F97750" w:rsidP="008A312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643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399,3</w:t>
            </w:r>
          </w:p>
        </w:tc>
        <w:tc>
          <w:tcPr>
            <w:tcW w:w="178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612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539</w:t>
            </w:r>
            <w:r w:rsidR="003A342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,2</w:t>
            </w:r>
          </w:p>
        </w:tc>
        <w:tc>
          <w:tcPr>
            <w:tcW w:w="1643" w:type="dxa"/>
          </w:tcPr>
          <w:p w:rsidR="00F97750" w:rsidRDefault="00F97750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88,11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1105,6</w:t>
            </w:r>
          </w:p>
        </w:tc>
        <w:tc>
          <w:tcPr>
            <w:tcW w:w="1789" w:type="dxa"/>
          </w:tcPr>
          <w:p w:rsidR="00F97750" w:rsidRDefault="00D33EF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48,77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земельный налог</w:t>
            </w:r>
          </w:p>
        </w:tc>
        <w:tc>
          <w:tcPr>
            <w:tcW w:w="1349" w:type="dxa"/>
          </w:tcPr>
          <w:p w:rsidR="00F97750" w:rsidRDefault="00F97750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2126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2431</w:t>
            </w:r>
            <w:r w:rsidR="003A342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,3</w:t>
            </w:r>
          </w:p>
        </w:tc>
        <w:tc>
          <w:tcPr>
            <w:tcW w:w="1643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114,36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2271</w:t>
            </w:r>
          </w:p>
        </w:tc>
        <w:tc>
          <w:tcPr>
            <w:tcW w:w="1789" w:type="dxa"/>
          </w:tcPr>
          <w:p w:rsidR="00F97750" w:rsidRDefault="00D33EF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107,06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неналоговые доходы</w:t>
            </w:r>
          </w:p>
        </w:tc>
        <w:tc>
          <w:tcPr>
            <w:tcW w:w="1349" w:type="dxa"/>
          </w:tcPr>
          <w:p w:rsidR="00F97750" w:rsidRDefault="003A342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489,5</w:t>
            </w:r>
          </w:p>
        </w:tc>
        <w:tc>
          <w:tcPr>
            <w:tcW w:w="1349" w:type="dxa"/>
          </w:tcPr>
          <w:p w:rsidR="00F97750" w:rsidRDefault="003A342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449,4</w:t>
            </w:r>
          </w:p>
        </w:tc>
        <w:tc>
          <w:tcPr>
            <w:tcW w:w="1643" w:type="dxa"/>
          </w:tcPr>
          <w:p w:rsidR="00F97750" w:rsidRDefault="00D33EFA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91,81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362,3</w:t>
            </w:r>
          </w:p>
        </w:tc>
        <w:tc>
          <w:tcPr>
            <w:tcW w:w="1789" w:type="dxa"/>
          </w:tcPr>
          <w:p w:rsidR="00F97750" w:rsidRDefault="00D33EF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124,04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доходы от денежных взысканий (штрафов)</w:t>
            </w:r>
            <w:proofErr w:type="gramStart"/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,п</w:t>
            </w:r>
            <w:proofErr w:type="gramEnd"/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оступающих в счет погашения задолженности, образовавшейся до 01.01.2020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F97750" w:rsidRDefault="003A342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0,6</w:t>
            </w:r>
          </w:p>
        </w:tc>
        <w:tc>
          <w:tcPr>
            <w:tcW w:w="1643" w:type="dxa"/>
          </w:tcPr>
          <w:p w:rsidR="00F97750" w:rsidRDefault="00F97750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-30</w:t>
            </w:r>
          </w:p>
        </w:tc>
        <w:tc>
          <w:tcPr>
            <w:tcW w:w="178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670859" w:rsidTr="00670859">
        <w:tc>
          <w:tcPr>
            <w:tcW w:w="3011" w:type="dxa"/>
          </w:tcPr>
          <w:p w:rsidR="00670859" w:rsidRDefault="006708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прочее возмещение ущерба, причиненного муниципальному имуществу сельского поселения</w:t>
            </w:r>
          </w:p>
        </w:tc>
        <w:tc>
          <w:tcPr>
            <w:tcW w:w="1349" w:type="dxa"/>
          </w:tcPr>
          <w:p w:rsidR="00670859" w:rsidRDefault="00E72A8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382</w:t>
            </w:r>
            <w:r w:rsidR="003A342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,5</w:t>
            </w:r>
          </w:p>
        </w:tc>
        <w:tc>
          <w:tcPr>
            <w:tcW w:w="1349" w:type="dxa"/>
          </w:tcPr>
          <w:p w:rsidR="00670859" w:rsidRDefault="00E72A85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382</w:t>
            </w:r>
            <w:r w:rsidR="003A342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,5</w:t>
            </w:r>
          </w:p>
        </w:tc>
        <w:tc>
          <w:tcPr>
            <w:tcW w:w="1643" w:type="dxa"/>
          </w:tcPr>
          <w:p w:rsidR="00670859" w:rsidRDefault="00595A0A" w:rsidP="00E5597E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670859" w:rsidRDefault="0067085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789" w:type="dxa"/>
          </w:tcPr>
          <w:p w:rsidR="00670859" w:rsidRDefault="006708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-</w:t>
            </w:r>
          </w:p>
        </w:tc>
      </w:tr>
      <w:tr w:rsidR="00F97750" w:rsidTr="00670859">
        <w:tc>
          <w:tcPr>
            <w:tcW w:w="3011" w:type="dxa"/>
          </w:tcPr>
          <w:p w:rsidR="00F97750" w:rsidRPr="00D43145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349" w:type="dxa"/>
          </w:tcPr>
          <w:p w:rsidR="00F97750" w:rsidRPr="008A3122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67545</w:t>
            </w:r>
            <w:r w:rsidR="003A3420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,1</w:t>
            </w:r>
          </w:p>
        </w:tc>
        <w:tc>
          <w:tcPr>
            <w:tcW w:w="1349" w:type="dxa"/>
          </w:tcPr>
          <w:p w:rsidR="00F97750" w:rsidRPr="008A3122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67545</w:t>
            </w:r>
          </w:p>
        </w:tc>
        <w:tc>
          <w:tcPr>
            <w:tcW w:w="1643" w:type="dxa"/>
          </w:tcPr>
          <w:p w:rsidR="00F97750" w:rsidRPr="008A3122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51946,0</w:t>
            </w:r>
          </w:p>
        </w:tc>
        <w:tc>
          <w:tcPr>
            <w:tcW w:w="1789" w:type="dxa"/>
          </w:tcPr>
          <w:p w:rsidR="00F97750" w:rsidRPr="008A3122" w:rsidRDefault="00F9775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130,03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дотации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6695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6695</w:t>
            </w:r>
          </w:p>
        </w:tc>
        <w:tc>
          <w:tcPr>
            <w:tcW w:w="1643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5341</w:t>
            </w:r>
          </w:p>
        </w:tc>
        <w:tc>
          <w:tcPr>
            <w:tcW w:w="178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125,41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субвенции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307</w:t>
            </w:r>
            <w:r w:rsidR="003A342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,4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307</w:t>
            </w:r>
            <w:r w:rsidR="003A342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,4</w:t>
            </w:r>
          </w:p>
        </w:tc>
        <w:tc>
          <w:tcPr>
            <w:tcW w:w="1643" w:type="dxa"/>
          </w:tcPr>
          <w:p w:rsidR="00F97750" w:rsidRDefault="00F97750" w:rsidP="00F214E8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269</w:t>
            </w:r>
          </w:p>
        </w:tc>
        <w:tc>
          <w:tcPr>
            <w:tcW w:w="1789" w:type="dxa"/>
          </w:tcPr>
          <w:p w:rsidR="00F97750" w:rsidRDefault="00D33EF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114,27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межбюджетные трансферты, передаваемые 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lastRenderedPageBreak/>
              <w:t>бюджетам сельских поселений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lastRenderedPageBreak/>
              <w:t>3392</w:t>
            </w:r>
          </w:p>
        </w:tc>
        <w:tc>
          <w:tcPr>
            <w:tcW w:w="1349" w:type="dxa"/>
          </w:tcPr>
          <w:p w:rsidR="00F97750" w:rsidRDefault="00F97750" w:rsidP="00E72A85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3392</w:t>
            </w:r>
          </w:p>
        </w:tc>
        <w:tc>
          <w:tcPr>
            <w:tcW w:w="1643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4402,8</w:t>
            </w:r>
          </w:p>
        </w:tc>
        <w:tc>
          <w:tcPr>
            <w:tcW w:w="178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77,04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lastRenderedPageBreak/>
              <w:t>прочие межбюджетные трансферты</w:t>
            </w:r>
          </w:p>
        </w:tc>
        <w:tc>
          <w:tcPr>
            <w:tcW w:w="1349" w:type="dxa"/>
          </w:tcPr>
          <w:p w:rsidR="00F97750" w:rsidRDefault="00F97750" w:rsidP="003A342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5587</w:t>
            </w:r>
            <w:r w:rsidR="003A342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3,9</w:t>
            </w:r>
          </w:p>
        </w:tc>
        <w:tc>
          <w:tcPr>
            <w:tcW w:w="134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55924</w:t>
            </w:r>
            <w:r w:rsidR="003A342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,1</w:t>
            </w:r>
          </w:p>
        </w:tc>
        <w:tc>
          <w:tcPr>
            <w:tcW w:w="1643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100,09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39974,8</w:t>
            </w:r>
          </w:p>
        </w:tc>
        <w:tc>
          <w:tcPr>
            <w:tcW w:w="1789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139,90</w:t>
            </w:r>
          </w:p>
        </w:tc>
      </w:tr>
      <w:tr w:rsidR="00F97750" w:rsidTr="00670859">
        <w:tc>
          <w:tcPr>
            <w:tcW w:w="3011" w:type="dxa"/>
          </w:tcPr>
          <w:p w:rsidR="00F97750" w:rsidRDefault="00F97750" w:rsidP="005D56F4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прочие субсидии</w:t>
            </w:r>
          </w:p>
        </w:tc>
        <w:tc>
          <w:tcPr>
            <w:tcW w:w="1349" w:type="dxa"/>
          </w:tcPr>
          <w:p w:rsidR="00F97750" w:rsidRDefault="00F97750" w:rsidP="003A342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</w:t>
            </w:r>
            <w:r w:rsidR="003A3420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76,8</w:t>
            </w:r>
          </w:p>
        </w:tc>
        <w:tc>
          <w:tcPr>
            <w:tcW w:w="1349" w:type="dxa"/>
          </w:tcPr>
          <w:p w:rsidR="00F97750" w:rsidRDefault="003A342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1226,5</w:t>
            </w:r>
          </w:p>
        </w:tc>
        <w:tc>
          <w:tcPr>
            <w:tcW w:w="1643" w:type="dxa"/>
          </w:tcPr>
          <w:p w:rsidR="00F97750" w:rsidRDefault="00F9775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96,06</w:t>
            </w:r>
          </w:p>
        </w:tc>
        <w:tc>
          <w:tcPr>
            <w:tcW w:w="1349" w:type="dxa"/>
          </w:tcPr>
          <w:p w:rsidR="00F97750" w:rsidRDefault="00F9775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1958,4</w:t>
            </w:r>
          </w:p>
        </w:tc>
        <w:tc>
          <w:tcPr>
            <w:tcW w:w="1789" w:type="dxa"/>
          </w:tcPr>
          <w:p w:rsidR="00F97750" w:rsidRDefault="00D33EFA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62,63</w:t>
            </w:r>
          </w:p>
        </w:tc>
      </w:tr>
    </w:tbl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drawing>
          <wp:inline distT="0" distB="0" distL="0" distR="0" wp14:anchorId="4E28D524" wp14:editId="0F85AB62">
            <wp:extent cx="6400800" cy="7109460"/>
            <wp:effectExtent l="0" t="0" r="19050" b="152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9553EF" w:rsidRDefault="000B55B9" w:rsidP="00836C57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Усть-Ницинского</w:t>
      </w:r>
      <w:proofErr w:type="spellEnd"/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 xml:space="preserve"> сельского поселения</w:t>
      </w:r>
    </w:p>
    <w:p w:rsidR="00804421" w:rsidRPr="00B43FAC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  <w:r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Анализ исполнения за 20</w:t>
      </w:r>
      <w:r w:rsidR="0016427A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2</w:t>
      </w:r>
      <w:r w:rsidR="00596295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1</w:t>
      </w:r>
      <w:r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 в сравнении</w:t>
      </w:r>
      <w:r w:rsidR="00D21AAE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                         </w:t>
      </w:r>
      <w:r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с </w:t>
      </w:r>
      <w:r w:rsidR="006E71E5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предыдущим финансовым </w:t>
      </w:r>
      <w:r w:rsidR="0016427A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  <w:r w:rsidR="00D21AAE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596295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>20</w:t>
      </w:r>
      <w:r w:rsidR="00D21AAE" w:rsidRPr="009553EF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год</w:t>
      </w:r>
      <w:r w:rsidR="006E71E5">
        <w:rPr>
          <w:rFonts w:ascii="Liberation Serif" w:hAnsi="Liberation Serif" w:cs="Times New Roman"/>
          <w:b/>
          <w:i/>
          <w:color w:val="00B0F0"/>
          <w:sz w:val="40"/>
          <w:szCs w:val="40"/>
        </w:rPr>
        <w:t>ом</w:t>
      </w:r>
      <w:r w:rsidRPr="00B43FAC">
        <w:rPr>
          <w:rFonts w:ascii="Liberation Serif" w:hAnsi="Liberation Serif" w:cs="Times New Roman"/>
          <w:b/>
          <w:i/>
          <w:color w:val="00B0F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Раздел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596295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96295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97750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10640,5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Pr="00B43FAC" w:rsidRDefault="00F97750" w:rsidP="006E71E5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12214</w:t>
                                  </w:r>
                                  <w:r w:rsidR="00281168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Pr="00B43FAC" w:rsidRDefault="00F97750" w:rsidP="00972585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1221</w:t>
                                  </w:r>
                                  <w:r w:rsidR="00281168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Pr="00B43FAC" w:rsidRDefault="00F97750" w:rsidP="00F4383F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99,97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F97750" w:rsidP="00281168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114,</w:t>
                                  </w:r>
                                  <w:r w:rsidR="00281168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F97750" w:rsidRPr="0095119A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268,8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Pr="00B43FAC" w:rsidRDefault="0097258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305,6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Pr="00B43FAC" w:rsidRDefault="00972585" w:rsidP="006362A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305,6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Pr="00B43FAC" w:rsidRDefault="00F97750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2811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113,69</w:t>
                                  </w:r>
                                </w:p>
                              </w:tc>
                            </w:tr>
                            <w:tr w:rsidR="00F97750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1899,3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15690</w:t>
                                  </w:r>
                                  <w:r w:rsidR="00972585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15521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98,92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2811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817,20</w:t>
                                  </w:r>
                                </w:p>
                              </w:tc>
                            </w:tr>
                            <w:tr w:rsidR="00F97750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10740,5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Pr="00B43FAC" w:rsidRDefault="00F97750" w:rsidP="0097258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104</w:t>
                                  </w:r>
                                  <w:r w:rsidR="00972585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09,7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Pr="00B43FAC" w:rsidRDefault="0097258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10085,9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96,89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2811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93,90</w:t>
                                  </w:r>
                                </w:p>
                              </w:tc>
                            </w:tr>
                            <w:tr w:rsidR="00F97750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9279,3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10564</w:t>
                                  </w:r>
                                  <w:r w:rsidR="00972585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Pr="00B43FAC" w:rsidRDefault="0097258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9944,8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94,14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2811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107,17</w:t>
                                  </w:r>
                                </w:p>
                              </w:tc>
                            </w:tr>
                            <w:tr w:rsidR="00F97750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111,4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1078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1078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2811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967,68</w:t>
                                  </w:r>
                                </w:p>
                              </w:tc>
                            </w:tr>
                            <w:tr w:rsidR="00F97750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2811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F97750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25873,3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Pr="00B43FAC" w:rsidRDefault="00F97750" w:rsidP="006E71E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29465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Pr="00B43FAC" w:rsidRDefault="00F97750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28313</w:t>
                                  </w:r>
                                  <w:r w:rsidR="00281168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Pr="00B43FAC" w:rsidRDefault="00F97750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96,09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281168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109,43</w:t>
                                  </w:r>
                                </w:p>
                              </w:tc>
                            </w:tr>
                            <w:tr w:rsidR="00F97750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5119A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F97750" w:rsidRPr="0095119A" w:rsidTr="00792194">
                              <w:trPr>
                                <w:trHeight w:val="444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725,4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Pr="00B43FAC" w:rsidRDefault="00F97750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94</w:t>
                                  </w:r>
                                  <w:r w:rsidR="00281168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Pr="00B43FAC" w:rsidRDefault="00F97750" w:rsidP="00A025E1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57,24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281168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13,01</w:t>
                                  </w:r>
                                </w:p>
                              </w:tc>
                            </w:tr>
                            <w:tr w:rsidR="00F97750" w:rsidRPr="0095119A" w:rsidTr="00A46084">
                              <w:trPr>
                                <w:trHeight w:val="1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F97750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F97750" w:rsidRPr="00AE707A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F97750" w:rsidRDefault="00F97750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67,4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F97750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F97750" w:rsidRDefault="00281168" w:rsidP="00596295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14,6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F97750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47,12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F97750" w:rsidRPr="0095119A" w:rsidRDefault="00281168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21,66</w:t>
                                  </w:r>
                                </w:p>
                              </w:tc>
                            </w:tr>
                            <w:tr w:rsidR="00804421" w:rsidRPr="0095119A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F97750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59627,9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972585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79944,9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77590</w:t>
                                  </w:r>
                                  <w:r w:rsidR="00972585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F97750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97,06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95119A" w:rsidRDefault="0028116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130,12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" fillcolor="#fbd4b4 [1305]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Раздел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96295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96295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F97750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10640,5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Pr="00B43FAC" w:rsidRDefault="00F97750" w:rsidP="006E71E5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12214</w:t>
                            </w:r>
                            <w:r w:rsidR="00281168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Pr="00B43FAC" w:rsidRDefault="00F97750" w:rsidP="00972585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1221</w:t>
                            </w:r>
                            <w:r w:rsidR="00281168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Pr="00B43FAC" w:rsidRDefault="00F97750" w:rsidP="00F4383F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99,97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F97750" w:rsidP="00281168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114,</w:t>
                            </w:r>
                            <w:r w:rsidR="00281168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c>
                      </w:tr>
                      <w:tr w:rsidR="00F97750" w:rsidRPr="0095119A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268,8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Pr="00B43FAC" w:rsidRDefault="0097258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305,6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Pr="00B43FAC" w:rsidRDefault="00972585" w:rsidP="006362A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305,6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Pr="00B43FAC" w:rsidRDefault="00F97750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2811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113,69</w:t>
                            </w:r>
                          </w:p>
                        </w:tc>
                      </w:tr>
                      <w:tr w:rsidR="00F97750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1899,3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15690</w:t>
                            </w:r>
                            <w:r w:rsidR="00972585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15521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98,92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2811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817,20</w:t>
                            </w:r>
                          </w:p>
                        </w:tc>
                      </w:tr>
                      <w:tr w:rsidR="00F97750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10740,5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Pr="00B43FAC" w:rsidRDefault="00F97750" w:rsidP="0097258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104</w:t>
                            </w:r>
                            <w:r w:rsidR="00972585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09,7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Pr="00B43FAC" w:rsidRDefault="0097258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10085,9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96,89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2811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93,90</w:t>
                            </w:r>
                          </w:p>
                        </w:tc>
                      </w:tr>
                      <w:tr w:rsidR="00F97750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9279,3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10564</w:t>
                            </w:r>
                            <w:r w:rsidR="00972585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Pr="00B43FAC" w:rsidRDefault="0097258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9944,8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94,14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2811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107,17</w:t>
                            </w:r>
                          </w:p>
                        </w:tc>
                      </w:tr>
                      <w:tr w:rsidR="00F97750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111,4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1078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1078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2811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967,68</w:t>
                            </w:r>
                          </w:p>
                        </w:tc>
                      </w:tr>
                      <w:tr w:rsidR="00F97750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2811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F97750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25873,3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Pr="00B43FAC" w:rsidRDefault="00F97750" w:rsidP="006E71E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29465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Pr="00B43FAC" w:rsidRDefault="00F97750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28313</w:t>
                            </w:r>
                            <w:r w:rsidR="00281168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Pr="00B43FAC" w:rsidRDefault="00F97750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96,09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281168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109,43</w:t>
                            </w:r>
                          </w:p>
                        </w:tc>
                      </w:tr>
                      <w:tr w:rsidR="00F97750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5119A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</w:tc>
                      </w:tr>
                      <w:tr w:rsidR="00F97750" w:rsidRPr="0095119A" w:rsidTr="00792194">
                        <w:trPr>
                          <w:trHeight w:val="444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725,4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Pr="00B43FAC" w:rsidRDefault="00F97750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94</w:t>
                            </w:r>
                            <w:r w:rsidR="00281168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Pr="00B43FAC" w:rsidRDefault="00F97750" w:rsidP="00A025E1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57,24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281168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13,01</w:t>
                            </w:r>
                          </w:p>
                        </w:tc>
                      </w:tr>
                      <w:tr w:rsidR="00F97750" w:rsidRPr="0095119A" w:rsidTr="00A46084">
                        <w:trPr>
                          <w:trHeight w:val="1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F97750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F97750" w:rsidRPr="00AE707A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F97750" w:rsidRDefault="00F97750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67,4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F97750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F97750" w:rsidRDefault="00281168" w:rsidP="00596295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14,6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F97750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47,12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F97750" w:rsidRPr="0095119A" w:rsidRDefault="00281168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21,66</w:t>
                            </w:r>
                          </w:p>
                        </w:tc>
                      </w:tr>
                      <w:tr w:rsidR="00804421" w:rsidRPr="0095119A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F97750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59627,9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972585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79944,9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77590</w:t>
                            </w:r>
                            <w:r w:rsidR="00972585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F97750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97,06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95119A" w:rsidRDefault="0028116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130,12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B43FAC" w:rsidRDefault="008A5BF8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249BAE" wp14:editId="767545CA">
            <wp:extent cx="7330440" cy="45720"/>
            <wp:effectExtent l="0" t="0" r="22860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2DE2" w:rsidRDefault="004E2DE2" w:rsidP="00B50866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</w:pPr>
      <w:r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Ст</w:t>
      </w:r>
      <w:r w:rsidR="006E43F9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р</w:t>
      </w:r>
      <w:r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уктура исполнения расходов за 2020 год</w:t>
      </w:r>
    </w:p>
    <w:p w:rsidR="004E2DE2" w:rsidRPr="001E3675" w:rsidRDefault="004E2DE2" w:rsidP="004E2DE2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2D6766">
        <w:rPr>
          <w:rFonts w:ascii="Liberation Serif" w:hAnsi="Liberation Serif" w:cs="Times New Roman"/>
          <w:sz w:val="28"/>
          <w:szCs w:val="28"/>
        </w:rPr>
        <w:t>43,39</w:t>
      </w:r>
      <w:r>
        <w:rPr>
          <w:rFonts w:ascii="Liberation Serif" w:hAnsi="Liberation Serif" w:cs="Times New Roman"/>
          <w:sz w:val="28"/>
          <w:szCs w:val="28"/>
        </w:rPr>
        <w:t xml:space="preserve">%, 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национальная экономика </w:t>
      </w:r>
      <w:r w:rsidR="002D6766">
        <w:rPr>
          <w:rFonts w:ascii="Liberation Serif" w:hAnsi="Liberation Serif" w:cs="Times New Roman"/>
          <w:sz w:val="28"/>
          <w:szCs w:val="28"/>
        </w:rPr>
        <w:t>18,01</w:t>
      </w:r>
      <w:r>
        <w:rPr>
          <w:rFonts w:ascii="Liberation Serif" w:hAnsi="Liberation Serif" w:cs="Times New Roman"/>
          <w:sz w:val="28"/>
          <w:szCs w:val="28"/>
        </w:rPr>
        <w:t xml:space="preserve"> %.</w:t>
      </w:r>
      <w:r w:rsidR="002D6766" w:rsidRPr="002D6766">
        <w:rPr>
          <w:rFonts w:ascii="Liberation Serif" w:hAnsi="Liberation Serif" w:cs="Times New Roman"/>
          <w:sz w:val="28"/>
          <w:szCs w:val="28"/>
        </w:rPr>
        <w:t xml:space="preserve"> </w:t>
      </w:r>
      <w:r w:rsidR="002D6766">
        <w:rPr>
          <w:rFonts w:ascii="Liberation Serif" w:hAnsi="Liberation Serif" w:cs="Times New Roman"/>
          <w:sz w:val="28"/>
          <w:szCs w:val="28"/>
        </w:rPr>
        <w:t>о</w:t>
      </w:r>
      <w:r w:rsidR="002D6766"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 w:rsidR="002D6766">
        <w:rPr>
          <w:rFonts w:ascii="Liberation Serif" w:hAnsi="Liberation Serif" w:cs="Times New Roman"/>
          <w:sz w:val="28"/>
          <w:szCs w:val="28"/>
        </w:rPr>
        <w:t>– 17,84 %,</w:t>
      </w:r>
      <w:r w:rsidR="002D6766">
        <w:rPr>
          <w:rFonts w:ascii="Liberation Serif" w:hAnsi="Liberation Serif" w:cs="Times New Roman"/>
          <w:sz w:val="28"/>
          <w:szCs w:val="28"/>
        </w:rPr>
        <w:t xml:space="preserve"> жилищно-коммунальное хозяйство – 15,56 %.</w:t>
      </w:r>
    </w:p>
    <w:p w:rsidR="004E2DE2" w:rsidRDefault="004E2DE2" w:rsidP="00B50866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</w:pPr>
    </w:p>
    <w:p w:rsidR="004E2DE2" w:rsidRDefault="004E2DE2" w:rsidP="00B50866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</w:pPr>
      <w:r>
        <w:rPr>
          <w:rFonts w:ascii="Liberation Serif" w:hAnsi="Liberation Serif" w:cs="Times New Roman"/>
          <w:b/>
          <w:i/>
          <w:noProof/>
          <w:color w:val="C00000"/>
          <w:sz w:val="40"/>
          <w:szCs w:val="40"/>
          <w:lang w:eastAsia="ru-RU"/>
        </w:rPr>
        <w:drawing>
          <wp:inline distT="0" distB="0" distL="0" distR="0" wp14:anchorId="179BE812" wp14:editId="5322B26F">
            <wp:extent cx="6172200" cy="5334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2DE2" w:rsidRDefault="004E2DE2" w:rsidP="00B50866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</w:pPr>
    </w:p>
    <w:p w:rsidR="004E2DE2" w:rsidRDefault="004E2DE2" w:rsidP="00B50866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</w:pPr>
    </w:p>
    <w:p w:rsidR="004E2DE2" w:rsidRDefault="004E2DE2" w:rsidP="00B50866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</w:pPr>
    </w:p>
    <w:p w:rsidR="004E2DE2" w:rsidRDefault="004E2DE2" w:rsidP="00B50866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</w:pPr>
    </w:p>
    <w:p w:rsidR="004E2DE2" w:rsidRDefault="004E2DE2" w:rsidP="00B50866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</w:pPr>
    </w:p>
    <w:p w:rsidR="004E2DE2" w:rsidRDefault="004E2DE2" w:rsidP="00B50866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</w:pPr>
    </w:p>
    <w:p w:rsidR="00B43FAC" w:rsidRPr="009553EF" w:rsidRDefault="002F4F07" w:rsidP="00B50866">
      <w:pPr>
        <w:spacing w:after="0"/>
        <w:jc w:val="center"/>
        <w:rPr>
          <w:rFonts w:ascii="Liberation Serif" w:hAnsi="Liberation Serif" w:cs="Times New Roman"/>
          <w:color w:val="C00000"/>
          <w:sz w:val="28"/>
          <w:szCs w:val="28"/>
        </w:rPr>
      </w:pP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lastRenderedPageBreak/>
        <w:t>Структура исполнения расходов за 20</w:t>
      </w:r>
      <w:r w:rsidR="00180FD6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2</w:t>
      </w:r>
      <w:r w:rsidR="00C60DB4"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>1</w:t>
      </w:r>
      <w:r w:rsidRPr="009553EF">
        <w:rPr>
          <w:rFonts w:ascii="Liberation Serif" w:hAnsi="Liberation Serif" w:cs="Times New Roman"/>
          <w:b/>
          <w:i/>
          <w:color w:val="C00000"/>
          <w:sz w:val="40"/>
          <w:szCs w:val="40"/>
          <w:highlight w:val="yellow"/>
        </w:rPr>
        <w:t xml:space="preserve"> год</w:t>
      </w: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D846AB">
        <w:rPr>
          <w:rFonts w:ascii="Liberation Serif" w:hAnsi="Liberation Serif" w:cs="Times New Roman"/>
          <w:sz w:val="28"/>
          <w:szCs w:val="28"/>
        </w:rPr>
        <w:t>36,</w:t>
      </w:r>
      <w:r w:rsidR="002D6766">
        <w:rPr>
          <w:rFonts w:ascii="Liberation Serif" w:hAnsi="Liberation Serif" w:cs="Times New Roman"/>
          <w:sz w:val="28"/>
          <w:szCs w:val="28"/>
        </w:rPr>
        <w:t>49</w:t>
      </w:r>
      <w:r>
        <w:rPr>
          <w:rFonts w:ascii="Liberation Serif" w:hAnsi="Liberation Serif" w:cs="Times New Roman"/>
          <w:sz w:val="28"/>
          <w:szCs w:val="28"/>
        </w:rPr>
        <w:t xml:space="preserve">%, </w:t>
      </w:r>
      <w:r w:rsidR="00D846AB">
        <w:rPr>
          <w:rFonts w:ascii="Liberation Serif" w:hAnsi="Liberation Serif" w:cs="Times New Roman"/>
          <w:sz w:val="28"/>
          <w:szCs w:val="28"/>
        </w:rPr>
        <w:t xml:space="preserve">национальная безопасность и правоохранительная деятельность – </w:t>
      </w:r>
      <w:r w:rsidR="002D6766">
        <w:rPr>
          <w:rFonts w:ascii="Liberation Serif" w:hAnsi="Liberation Serif" w:cs="Times New Roman"/>
          <w:sz w:val="28"/>
          <w:szCs w:val="28"/>
        </w:rPr>
        <w:t>20</w:t>
      </w:r>
      <w:r w:rsidR="00D846AB">
        <w:rPr>
          <w:rFonts w:ascii="Liberation Serif" w:hAnsi="Liberation Serif" w:cs="Times New Roman"/>
          <w:sz w:val="28"/>
          <w:szCs w:val="28"/>
        </w:rPr>
        <w:t xml:space="preserve"> %, 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D846AB">
        <w:rPr>
          <w:rFonts w:ascii="Liberation Serif" w:hAnsi="Liberation Serif" w:cs="Times New Roman"/>
          <w:sz w:val="28"/>
          <w:szCs w:val="28"/>
        </w:rPr>
        <w:t>15,</w:t>
      </w:r>
      <w:r w:rsidR="002D6766">
        <w:rPr>
          <w:rFonts w:ascii="Liberation Serif" w:hAnsi="Liberation Serif" w:cs="Times New Roman"/>
          <w:sz w:val="28"/>
          <w:szCs w:val="28"/>
        </w:rPr>
        <w:t>74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национальная экономика </w:t>
      </w:r>
      <w:r w:rsidR="002D6766">
        <w:rPr>
          <w:rFonts w:ascii="Liberation Serif" w:hAnsi="Liberation Serif" w:cs="Times New Roman"/>
          <w:sz w:val="28"/>
          <w:szCs w:val="28"/>
        </w:rPr>
        <w:t>13</w:t>
      </w:r>
      <w:r w:rsidR="00B57E56">
        <w:rPr>
          <w:rFonts w:ascii="Liberation Serif" w:hAnsi="Liberation Serif" w:cs="Times New Roman"/>
          <w:sz w:val="28"/>
          <w:szCs w:val="28"/>
        </w:rPr>
        <w:t xml:space="preserve"> </w:t>
      </w:r>
      <w:r w:rsidR="006E43F9">
        <w:rPr>
          <w:rFonts w:ascii="Liberation Serif" w:hAnsi="Liberation Serif" w:cs="Times New Roman"/>
          <w:sz w:val="28"/>
          <w:szCs w:val="28"/>
        </w:rPr>
        <w:t>%, жилищно-коммунальное хозяйство – 12,82 %.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777552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3810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913B8" w:rsidRPr="001E3675" w:rsidRDefault="00777552" w:rsidP="00777552">
      <w:pPr>
        <w:tabs>
          <w:tab w:val="left" w:pos="924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3360FE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39546338" wp14:editId="756F3E05">
            <wp:extent cx="5425440" cy="2865120"/>
            <wp:effectExtent l="0" t="0" r="2286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9B1611" w:rsidRPr="009553EF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C00000"/>
          <w:sz w:val="36"/>
          <w:szCs w:val="36"/>
        </w:rPr>
      </w:pPr>
      <w:r w:rsidRPr="009553EF">
        <w:rPr>
          <w:rFonts w:ascii="Liberation Serif" w:eastAsia="Calibri" w:hAnsi="Liberation Serif" w:cs="Times New Roman"/>
          <w:b/>
          <w:i/>
          <w:color w:val="C00000"/>
          <w:sz w:val="36"/>
          <w:szCs w:val="36"/>
          <w:highlight w:val="yellow"/>
        </w:rPr>
        <w:lastRenderedPageBreak/>
        <w:t xml:space="preserve">Муниципальный долг </w:t>
      </w:r>
      <w:proofErr w:type="spellStart"/>
      <w:r w:rsidR="00480E9C" w:rsidRPr="009553EF">
        <w:rPr>
          <w:rFonts w:ascii="Liberation Serif" w:eastAsia="Calibri" w:hAnsi="Liberation Serif" w:cs="Times New Roman"/>
          <w:b/>
          <w:i/>
          <w:color w:val="C00000"/>
          <w:sz w:val="36"/>
          <w:szCs w:val="36"/>
          <w:highlight w:val="yellow"/>
        </w:rPr>
        <w:t>Усть-Ницинского</w:t>
      </w:r>
      <w:proofErr w:type="spellEnd"/>
      <w:r w:rsidRPr="009553EF">
        <w:rPr>
          <w:rFonts w:ascii="Liberation Serif" w:eastAsia="Calibri" w:hAnsi="Liberation Serif" w:cs="Times New Roman"/>
          <w:b/>
          <w:i/>
          <w:color w:val="C00000"/>
          <w:sz w:val="36"/>
          <w:szCs w:val="36"/>
          <w:highlight w:val="yellow"/>
        </w:rPr>
        <w:t xml:space="preserve"> сельского поселения</w:t>
      </w:r>
      <w:r w:rsidRPr="009553EF">
        <w:rPr>
          <w:rFonts w:ascii="Liberation Serif" w:eastAsia="Calibri" w:hAnsi="Liberation Serif" w:cs="Times New Roman"/>
          <w:b/>
          <w:i/>
          <w:color w:val="C00000"/>
          <w:sz w:val="36"/>
          <w:szCs w:val="36"/>
        </w:rPr>
        <w:t xml:space="preserve"> </w:t>
      </w:r>
    </w:p>
    <w:p w:rsidR="00636FEB" w:rsidRPr="009553EF" w:rsidRDefault="00636FEB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i/>
          <w:sz w:val="36"/>
          <w:szCs w:val="36"/>
        </w:rPr>
      </w:pPr>
      <w:r w:rsidRPr="009553EF">
        <w:rPr>
          <w:rFonts w:ascii="Liberation Serif" w:eastAsia="Calibri" w:hAnsi="Liberation Serif" w:cs="Times New Roman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3029B3" wp14:editId="0FBCB10A">
                <wp:simplePos x="0" y="0"/>
                <wp:positionH relativeFrom="column">
                  <wp:posOffset>3810</wp:posOffset>
                </wp:positionH>
                <wp:positionV relativeFrom="paragraph">
                  <wp:posOffset>163830</wp:posOffset>
                </wp:positionV>
                <wp:extent cx="6202680" cy="3436620"/>
                <wp:effectExtent l="0" t="0" r="26670" b="1143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3436620"/>
                        </a:xfrm>
                        <a:prstGeom prst="wave">
                          <a:avLst>
                            <a:gd name="adj1" fmla="val 12500"/>
                            <a:gd name="adj2" fmla="val -4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0FE" w:rsidRDefault="003360FE" w:rsidP="00370C0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70C03" w:rsidRDefault="00370C03" w:rsidP="00370C0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</w:p>
                          <w:p w:rsidR="00370C03" w:rsidRDefault="00B57E56" w:rsidP="00370C0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01.01.2021 – 0,0 тыс. руб.</w:t>
                            </w:r>
                            <w:r w:rsidR="00370C03"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370C03" w:rsidRDefault="00370C03" w:rsidP="00370C0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                                                     </w:t>
                            </w:r>
                          </w:p>
                          <w:p w:rsidR="003360FE" w:rsidRPr="00A028F7" w:rsidRDefault="00370C03" w:rsidP="00370C03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 xml:space="preserve">  сальдо на 01.01.2022 – 0,0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.3pt;margin-top:12.9pt;width:488.4pt;height:27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" adj="2700,10694" fillcolor="#4f81bd [3204]" strokecolor="#243f60 [1604]" strokeweight="2pt">
                <v:textbox>
                  <w:txbxContent>
                    <w:p w:rsidR="003360FE" w:rsidRDefault="003360FE" w:rsidP="00370C0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p w:rsidR="00370C03" w:rsidRDefault="00370C03" w:rsidP="00370C0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</w:p>
                    <w:p w:rsidR="00370C03" w:rsidRDefault="00B57E56" w:rsidP="00370C0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01.01.2021 – 0,0 тыс. руб.</w:t>
                      </w:r>
                      <w:r w:rsidR="00370C03"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370C03" w:rsidRDefault="00370C03" w:rsidP="00370C0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                                                     </w:t>
                      </w:r>
                    </w:p>
                    <w:p w:rsidR="003360FE" w:rsidRPr="00A028F7" w:rsidRDefault="00370C03" w:rsidP="00370C03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 xml:space="preserve">  сальдо на 01.01.2022 – 0,0 тыс. руб.</w:t>
                      </w:r>
                    </w:p>
                  </w:txbxContent>
                </v:textbox>
              </v:shape>
            </w:pict>
          </mc:Fallback>
        </mc:AlternateContent>
      </w: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636FEB" w:rsidRPr="00636FEB" w:rsidRDefault="00636FEB" w:rsidP="00636FEB">
      <w:pPr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636FEB" w:rsidRDefault="009B1611" w:rsidP="00636FEB">
      <w:pPr>
        <w:spacing w:after="0" w:line="240" w:lineRule="auto"/>
        <w:ind w:firstLine="708"/>
        <w:rPr>
          <w:rFonts w:ascii="Liberation Serif" w:eastAsia="Calibri" w:hAnsi="Liberation Serif" w:cs="Times New Roman"/>
          <w:sz w:val="24"/>
          <w:szCs w:val="24"/>
        </w:rPr>
      </w:pPr>
    </w:p>
    <w:sectPr w:rsidR="009B1611" w:rsidRPr="00636FEB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1A36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B501C"/>
    <w:rsid w:val="000B55B9"/>
    <w:rsid w:val="000B627A"/>
    <w:rsid w:val="000C24E1"/>
    <w:rsid w:val="000D102C"/>
    <w:rsid w:val="000D1CB8"/>
    <w:rsid w:val="000D37DA"/>
    <w:rsid w:val="000D561E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81168"/>
    <w:rsid w:val="0029028C"/>
    <w:rsid w:val="00292181"/>
    <w:rsid w:val="0029412A"/>
    <w:rsid w:val="00296C44"/>
    <w:rsid w:val="002A4006"/>
    <w:rsid w:val="002A590E"/>
    <w:rsid w:val="002B5277"/>
    <w:rsid w:val="002C22C7"/>
    <w:rsid w:val="002C69A6"/>
    <w:rsid w:val="002D6766"/>
    <w:rsid w:val="002E04E3"/>
    <w:rsid w:val="002E2474"/>
    <w:rsid w:val="002E55D5"/>
    <w:rsid w:val="002E72A4"/>
    <w:rsid w:val="002F36AB"/>
    <w:rsid w:val="002F4F07"/>
    <w:rsid w:val="00300142"/>
    <w:rsid w:val="00312F51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2977"/>
    <w:rsid w:val="003630AC"/>
    <w:rsid w:val="003668C9"/>
    <w:rsid w:val="00370C03"/>
    <w:rsid w:val="00373C93"/>
    <w:rsid w:val="0037762B"/>
    <w:rsid w:val="00385D55"/>
    <w:rsid w:val="00390558"/>
    <w:rsid w:val="003A3420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46A3"/>
    <w:rsid w:val="004C5333"/>
    <w:rsid w:val="004C7FF1"/>
    <w:rsid w:val="004E20C8"/>
    <w:rsid w:val="004E2DE2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95A0A"/>
    <w:rsid w:val="00596295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D56F4"/>
    <w:rsid w:val="005E38CF"/>
    <w:rsid w:val="005F57EF"/>
    <w:rsid w:val="005F6EE8"/>
    <w:rsid w:val="00602850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2AA"/>
    <w:rsid w:val="00636D9D"/>
    <w:rsid w:val="00636FEB"/>
    <w:rsid w:val="0065466F"/>
    <w:rsid w:val="00666383"/>
    <w:rsid w:val="00670859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43F9"/>
    <w:rsid w:val="006E52AD"/>
    <w:rsid w:val="006E68AD"/>
    <w:rsid w:val="006E71E5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5CF"/>
    <w:rsid w:val="007419E6"/>
    <w:rsid w:val="007420A8"/>
    <w:rsid w:val="007522E9"/>
    <w:rsid w:val="00754B47"/>
    <w:rsid w:val="007562AE"/>
    <w:rsid w:val="00756766"/>
    <w:rsid w:val="00762784"/>
    <w:rsid w:val="00777552"/>
    <w:rsid w:val="00781EF4"/>
    <w:rsid w:val="00784319"/>
    <w:rsid w:val="00792194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D7B42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A5BF8"/>
    <w:rsid w:val="008B3D61"/>
    <w:rsid w:val="008B493A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410"/>
    <w:rsid w:val="00917FAE"/>
    <w:rsid w:val="009201BB"/>
    <w:rsid w:val="00924198"/>
    <w:rsid w:val="00925168"/>
    <w:rsid w:val="009320B3"/>
    <w:rsid w:val="0095119A"/>
    <w:rsid w:val="0095245E"/>
    <w:rsid w:val="009553EF"/>
    <w:rsid w:val="00957A18"/>
    <w:rsid w:val="00957FB6"/>
    <w:rsid w:val="009621AC"/>
    <w:rsid w:val="00964AF7"/>
    <w:rsid w:val="00972245"/>
    <w:rsid w:val="00972585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5E1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422F"/>
    <w:rsid w:val="00AB61AD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4286"/>
    <w:rsid w:val="00B37788"/>
    <w:rsid w:val="00B43FAC"/>
    <w:rsid w:val="00B46A79"/>
    <w:rsid w:val="00B50866"/>
    <w:rsid w:val="00B5104E"/>
    <w:rsid w:val="00B51509"/>
    <w:rsid w:val="00B5623F"/>
    <w:rsid w:val="00B57E56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0DB4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55B"/>
    <w:rsid w:val="00C90D93"/>
    <w:rsid w:val="00C90FBA"/>
    <w:rsid w:val="00C913B8"/>
    <w:rsid w:val="00C91B1D"/>
    <w:rsid w:val="00C92739"/>
    <w:rsid w:val="00CA1235"/>
    <w:rsid w:val="00CA171E"/>
    <w:rsid w:val="00CA642F"/>
    <w:rsid w:val="00CB32F6"/>
    <w:rsid w:val="00CC0EA1"/>
    <w:rsid w:val="00CC4AF0"/>
    <w:rsid w:val="00CD0471"/>
    <w:rsid w:val="00CE4529"/>
    <w:rsid w:val="00CE555D"/>
    <w:rsid w:val="00CE6688"/>
    <w:rsid w:val="00CE7ABB"/>
    <w:rsid w:val="00CF1669"/>
    <w:rsid w:val="00CF27DC"/>
    <w:rsid w:val="00CF41F6"/>
    <w:rsid w:val="00CF6586"/>
    <w:rsid w:val="00D03E3D"/>
    <w:rsid w:val="00D07D2C"/>
    <w:rsid w:val="00D11E90"/>
    <w:rsid w:val="00D1340D"/>
    <w:rsid w:val="00D13551"/>
    <w:rsid w:val="00D21AAE"/>
    <w:rsid w:val="00D25A67"/>
    <w:rsid w:val="00D33EFA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46AB"/>
    <w:rsid w:val="00D851F1"/>
    <w:rsid w:val="00D86348"/>
    <w:rsid w:val="00D951F7"/>
    <w:rsid w:val="00D95C86"/>
    <w:rsid w:val="00DA17E4"/>
    <w:rsid w:val="00DA39C7"/>
    <w:rsid w:val="00DA523D"/>
    <w:rsid w:val="00DA59DE"/>
    <w:rsid w:val="00DA7898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30CC"/>
    <w:rsid w:val="00E47B2D"/>
    <w:rsid w:val="00E51FEA"/>
    <w:rsid w:val="00E5597E"/>
    <w:rsid w:val="00E62574"/>
    <w:rsid w:val="00E72A85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E0754"/>
    <w:rsid w:val="00EF1578"/>
    <w:rsid w:val="00EF175A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14E8"/>
    <w:rsid w:val="00F251C0"/>
    <w:rsid w:val="00F25570"/>
    <w:rsid w:val="00F305B0"/>
    <w:rsid w:val="00F30D58"/>
    <w:rsid w:val="00F3178D"/>
    <w:rsid w:val="00F41D0B"/>
    <w:rsid w:val="00F4383F"/>
    <w:rsid w:val="00F44932"/>
    <w:rsid w:val="00F44E93"/>
    <w:rsid w:val="00F452E7"/>
    <w:rsid w:val="00F50D7C"/>
    <w:rsid w:val="00F5309A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97750"/>
    <w:rsid w:val="00FA084E"/>
    <w:rsid w:val="00FA40A3"/>
    <w:rsid w:val="00FA7197"/>
    <w:rsid w:val="00FB3751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2B27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solidFill>
          <a:srgbClr val="FFFF00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79574568104361E-2"/>
          <c:y val="3.6714681498146065E-2"/>
          <c:w val="0.89194480354134842"/>
          <c:h val="0.69666395867183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975124378109453E-2"/>
                  <c:y val="0.14219576719576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64132.9</c:v>
                </c:pt>
                <c:pt idx="3">
                  <c:v>80698.399999999994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6585396704929952E-2"/>
                  <c:y val="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59627.9</c:v>
                </c:pt>
                <c:pt idx="3">
                  <c:v>77590.5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00185216"/>
        <c:axId val="100827520"/>
        <c:axId val="99924160"/>
      </c:bar3DChart>
      <c:catAx>
        <c:axId val="1001852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100827520"/>
        <c:crosses val="autoZero"/>
        <c:auto val="1"/>
        <c:lblAlgn val="ctr"/>
        <c:lblOffset val="100"/>
        <c:noMultiLvlLbl val="0"/>
      </c:catAx>
      <c:valAx>
        <c:axId val="100827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>
            <a:solidFill>
              <a:srgbClr val="92D050"/>
            </a:solidFill>
          </a:ln>
        </c:spPr>
        <c:txPr>
          <a:bodyPr/>
          <a:lstStyle/>
          <a:p>
            <a:pPr>
              <a:defRPr sz="1200"/>
            </a:pPr>
            <a:endParaRPr lang="ru-RU"/>
          </a:p>
        </c:txPr>
        <c:crossAx val="100185216"/>
        <c:crosses val="autoZero"/>
        <c:crossBetween val="between"/>
      </c:valAx>
      <c:serAx>
        <c:axId val="99924160"/>
        <c:scaling>
          <c:orientation val="minMax"/>
        </c:scaling>
        <c:delete val="1"/>
        <c:axPos val="b"/>
        <c:majorTickMark val="none"/>
        <c:minorTickMark val="none"/>
        <c:tickLblPos val="nextTo"/>
        <c:crossAx val="100827520"/>
        <c:crosses val="autoZero"/>
      </c:serAx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FF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>
                <a:solidFill>
                  <a:srgbClr val="C00000"/>
                </a:solidFill>
              </a:rPr>
              <a:t>Структура налоговых и неналоговых поступлений за 2021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535245594300715E-2"/>
          <c:y val="0.12393036883251328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16"/>
          </c:dPt>
          <c:dLbls>
            <c:dLbl>
              <c:idx val="0"/>
              <c:layout>
                <c:manualLayout>
                  <c:x val="-1.1123922009748781E-2"/>
                  <c:y val="-5.65352232835904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7030A0"/>
                        </a:solidFill>
                      </a:rPr>
                      <a:t>акцизы на нефтепродукты
68,23%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6374203224595E-3"/>
                  <c:y val="0.155581973212495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ln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1300" b="1"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375.9</c:v>
                </c:pt>
                <c:pt idx="1">
                  <c:v>8974.4</c:v>
                </c:pt>
                <c:pt idx="3">
                  <c:v>539.20000000000005</c:v>
                </c:pt>
                <c:pt idx="4">
                  <c:v>2431.3000000000002</c:v>
                </c:pt>
                <c:pt idx="5">
                  <c:v>159.80000000000001</c:v>
                </c:pt>
                <c:pt idx="6">
                  <c:v>672.7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C00000"/>
                </a:solidFill>
              </a:rPr>
              <a:t>Структура безвозмездных поступлений                         за 2021 год</a:t>
            </a:r>
          </a:p>
        </c:rich>
      </c:tx>
      <c:overlay val="0"/>
      <c:spPr>
        <a:solidFill>
          <a:srgbClr val="FFFF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49866637469847E-2"/>
          <c:y val="0.2038953790093450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3"/>
              <c:tx>
                <c:rich>
                  <a:bodyPr/>
                  <a:lstStyle/>
                  <a:p>
                    <a:pPr>
                      <a:defRPr sz="1300" b="1" baseline="0">
                        <a:solidFill>
                          <a:srgbClr val="FFC000"/>
                        </a:solidFill>
                      </a:defRPr>
                    </a:pPr>
                    <a:r>
                      <a:rPr lang="ru-RU">
                        <a:solidFill>
                          <a:srgbClr val="FFC000"/>
                        </a:solidFill>
                      </a:rPr>
                      <a:t>прочие межбюджетные трансферты
82,79%</a:t>
                    </a:r>
                  </a:p>
                </c:rich>
              </c:tx>
              <c:numFmt formatCode="0.00%" sourceLinked="0"/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  <c:pt idx="4">
                  <c:v>прочие субсидии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6695</c:v>
                </c:pt>
                <c:pt idx="1">
                  <c:v>307.39999999999998</c:v>
                </c:pt>
                <c:pt idx="2">
                  <c:v>3392</c:v>
                </c:pt>
                <c:pt idx="3">
                  <c:v>55924.1</c:v>
                </c:pt>
                <c:pt idx="4">
                  <c:v>1226.5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rgbClr val="FF0000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12320.9</c:v>
                </c:pt>
                <c:pt idx="1">
                  <c:v>832.5</c:v>
                </c:pt>
                <c:pt idx="2">
                  <c:v>67545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11854.6</c:v>
                </c:pt>
                <c:pt idx="1">
                  <c:v>332.3</c:v>
                </c:pt>
                <c:pt idx="2">
                  <c:v>51946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03906688"/>
        <c:axId val="104424576"/>
        <c:axId val="0"/>
      </c:bar3DChart>
      <c:catAx>
        <c:axId val="10390668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4424576"/>
        <c:crosses val="autoZero"/>
        <c:auto val="1"/>
        <c:lblAlgn val="ctr"/>
        <c:lblOffset val="100"/>
        <c:noMultiLvlLbl val="0"/>
      </c:catAx>
      <c:valAx>
        <c:axId val="10442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3906688"/>
        <c:crosses val="autoZero"/>
        <c:crossBetween val="between"/>
      </c:valAx>
      <c:spPr>
        <a:solidFill>
          <a:schemeClr val="accent6">
            <a:lumMod val="60000"/>
            <a:lumOff val="40000"/>
          </a:schemeClr>
        </a:solidFill>
      </c:spPr>
    </c:plotArea>
    <c:legend>
      <c:legendPos val="b"/>
      <c:legendEntry>
        <c:idx val="0"/>
        <c:delete val="1"/>
      </c:legendEntry>
      <c:overlay val="0"/>
      <c:spPr>
        <a:solidFill>
          <a:srgbClr val="FFC000"/>
        </a:solidFill>
      </c:spPr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789513227616E-2"/>
          <c:y val="6.6606180400289455E-2"/>
          <c:w val="0.8249773519101381"/>
          <c:h val="0.82675438596491224"/>
        </c:manualLayout>
      </c:layout>
      <c:pie3DChart>
        <c:varyColors val="1"/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982056488221994E-2"/>
          <c:y val="7.9166666666666663E-2"/>
          <c:w val="0.82887865431915353"/>
          <c:h val="0.822619047619047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-8.403885835025339E-2"/>
                  <c:y val="-0.117311211098612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336346845533197E-3"/>
                  <c:y val="0.382861454818147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5729559748427674"/>
                  <c:y val="-0.1094887514060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30909052642004653"/>
                  <c:y val="7.41976292414563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0.18013139866950592"/>
                  <c:y val="-0.103965316835395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1455957357182204"/>
                  <c:y val="-5.82139107611548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  <a:ln>
                <a:solidFill>
                  <a:srgbClr val="FF0000"/>
                </a:solidFill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ОБЩЕХОЗЯЙСТВЕННЫЕ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10640.2</c:v>
                </c:pt>
                <c:pt idx="1">
                  <c:v>268.8</c:v>
                </c:pt>
                <c:pt idx="2">
                  <c:v>1899.3</c:v>
                </c:pt>
                <c:pt idx="3">
                  <c:v>10740.5</c:v>
                </c:pt>
                <c:pt idx="4">
                  <c:v>9279.2999999999993</c:v>
                </c:pt>
                <c:pt idx="5">
                  <c:v>111.4</c:v>
                </c:pt>
                <c:pt idx="6">
                  <c:v>11</c:v>
                </c:pt>
                <c:pt idx="7">
                  <c:v>25873.3</c:v>
                </c:pt>
                <c:pt idx="8">
                  <c:v>11</c:v>
                </c:pt>
                <c:pt idx="9">
                  <c:v>725.4</c:v>
                </c:pt>
                <c:pt idx="10">
                  <c:v>67.400000000000006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rgbClr val="7030A0"/>
      </a:solidFill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828968897971723E-2"/>
          <c:y val="0.10892519466680642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5328801934109382"/>
                  <c:y val="0.11377035649246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601510689026466"/>
                  <c:y val="-0.10984470327232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5675018199060994"/>
                  <c:y val="-0.231796524602477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2008575263969868E-2"/>
                  <c:y val="9.08588485507531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3.6047497879558951E-4"/>
                  <c:y val="-0.105337779117044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48509488556296876"/>
                  <c:y val="4.17665657849341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solidFill>
                <a:schemeClr val="accent6">
                  <a:lumMod val="20000"/>
                  <a:lumOff val="80000"/>
                </a:schemeClr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12210.7</c:v>
                </c:pt>
                <c:pt idx="1">
                  <c:v>305.60000000000002</c:v>
                </c:pt>
                <c:pt idx="2">
                  <c:v>15521</c:v>
                </c:pt>
                <c:pt idx="3">
                  <c:v>10085.9</c:v>
                </c:pt>
                <c:pt idx="4">
                  <c:v>9944.7999999999993</c:v>
                </c:pt>
                <c:pt idx="5">
                  <c:v>1078</c:v>
                </c:pt>
                <c:pt idx="6">
                  <c:v>11</c:v>
                </c:pt>
                <c:pt idx="7">
                  <c:v>28313.5</c:v>
                </c:pt>
                <c:pt idx="8">
                  <c:v>11</c:v>
                </c:pt>
                <c:pt idx="9">
                  <c:v>94.4</c:v>
                </c:pt>
                <c:pt idx="10">
                  <c:v>14.6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5">
        <a:lumMod val="40000"/>
        <a:lumOff val="6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12210.7</c:v>
                </c:pt>
                <c:pt idx="1">
                  <c:v>28313.5</c:v>
                </c:pt>
                <c:pt idx="2">
                  <c:v>15521</c:v>
                </c:pt>
                <c:pt idx="3">
                  <c:v>10085.9</c:v>
                </c:pt>
                <c:pt idx="4">
                  <c:v>9944.7999999999993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10640.5</c:v>
                </c:pt>
                <c:pt idx="1">
                  <c:v>25873.3</c:v>
                </c:pt>
                <c:pt idx="2">
                  <c:v>1899.3</c:v>
                </c:pt>
                <c:pt idx="3">
                  <c:v>10740.5</c:v>
                </c:pt>
                <c:pt idx="4">
                  <c:v>9279.2999999999993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8804352"/>
        <c:axId val="109048192"/>
      </c:barChart>
      <c:catAx>
        <c:axId val="108804352"/>
        <c:scaling>
          <c:orientation val="minMax"/>
        </c:scaling>
        <c:delete val="0"/>
        <c:axPos val="l"/>
        <c:majorTickMark val="none"/>
        <c:minorTickMark val="none"/>
        <c:tickLblPos val="nextTo"/>
        <c:crossAx val="109048192"/>
        <c:crosses val="autoZero"/>
        <c:auto val="1"/>
        <c:lblAlgn val="ctr"/>
        <c:lblOffset val="100"/>
        <c:noMultiLvlLbl val="0"/>
      </c:catAx>
      <c:valAx>
        <c:axId val="10904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8804352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rgbClr val="FF0000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0.0631</cdr:x>
      <cdr:y>0.39432</cdr:y>
    </cdr:from>
    <cdr:to>
      <cdr:x>0.16786</cdr:x>
      <cdr:y>0.48313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403860" y="3383280"/>
          <a:ext cx="67056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0.83753</cdr:x>
      <cdr:y>0.32714</cdr:y>
    </cdr:from>
    <cdr:to>
      <cdr:x>0.97338</cdr:x>
      <cdr:y>0.62857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5169379" y="1744980"/>
          <a:ext cx="838488" cy="160782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F456-3484-4AAC-8F57-D797B807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бухгалтер</dc:creator>
  <cp:lastModifiedBy>76</cp:lastModifiedBy>
  <cp:revision>58</cp:revision>
  <cp:lastPrinted>2019-10-28T07:35:00Z</cp:lastPrinted>
  <dcterms:created xsi:type="dcterms:W3CDTF">2019-10-25T11:36:00Z</dcterms:created>
  <dcterms:modified xsi:type="dcterms:W3CDTF">2022-02-11T10:21:00Z</dcterms:modified>
</cp:coreProperties>
</file>