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1D1DD1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01.04.2020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1D1DD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кв.             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1D1DD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1 кв.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DE1D31" w:rsidRPr="009B42FB" w:rsidRDefault="001D1DD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10632</w:t>
            </w:r>
          </w:p>
        </w:tc>
        <w:tc>
          <w:tcPr>
            <w:tcW w:w="1842" w:type="dxa"/>
          </w:tcPr>
          <w:p w:rsidR="00DE1D31" w:rsidRPr="009B42FB" w:rsidRDefault="001D1DD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21,15</w:t>
            </w:r>
          </w:p>
        </w:tc>
        <w:tc>
          <w:tcPr>
            <w:tcW w:w="1985" w:type="dxa"/>
          </w:tcPr>
          <w:p w:rsidR="00DE1D31" w:rsidRPr="009B42FB" w:rsidRDefault="001D1DD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12156</w:t>
            </w:r>
          </w:p>
        </w:tc>
        <w:tc>
          <w:tcPr>
            <w:tcW w:w="1808" w:type="dxa"/>
          </w:tcPr>
          <w:p w:rsidR="00DE1D31" w:rsidRPr="009B42FB" w:rsidRDefault="001D1DD1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20,70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DE1D31" w:rsidRPr="009B42FB" w:rsidRDefault="001D1DD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9692</w:t>
            </w:r>
          </w:p>
        </w:tc>
        <w:tc>
          <w:tcPr>
            <w:tcW w:w="1842" w:type="dxa"/>
          </w:tcPr>
          <w:p w:rsidR="00DE1D31" w:rsidRPr="009B42FB" w:rsidRDefault="001D1DD1" w:rsidP="001D1DD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19,24</w:t>
            </w:r>
          </w:p>
        </w:tc>
        <w:tc>
          <w:tcPr>
            <w:tcW w:w="1985" w:type="dxa"/>
          </w:tcPr>
          <w:p w:rsidR="00DE1D31" w:rsidRPr="009B42FB" w:rsidRDefault="001D1DD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11408</w:t>
            </w:r>
          </w:p>
        </w:tc>
        <w:tc>
          <w:tcPr>
            <w:tcW w:w="1808" w:type="dxa"/>
          </w:tcPr>
          <w:p w:rsidR="00DE1D31" w:rsidRPr="009B42FB" w:rsidRDefault="001D1DD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19,43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DE1D31" w:rsidRPr="009B42FB" w:rsidRDefault="00DE1D31" w:rsidP="001D1DD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 w:rsidR="001D1DD1">
              <w:rPr>
                <w:rFonts w:ascii="Liberation Serif" w:hAnsi="Liberation Serif" w:cs="Times New Roman"/>
                <w:sz w:val="32"/>
                <w:szCs w:val="32"/>
              </w:rPr>
              <w:t>940</w:t>
            </w:r>
          </w:p>
        </w:tc>
        <w:tc>
          <w:tcPr>
            <w:tcW w:w="1842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1D31" w:rsidRPr="009B42FB" w:rsidRDefault="00DE1D31" w:rsidP="001D1DD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 w:rsidR="001D1DD1">
              <w:rPr>
                <w:rFonts w:ascii="Liberation Serif" w:hAnsi="Liberation Serif" w:cs="Times New Roman"/>
                <w:sz w:val="32"/>
                <w:szCs w:val="32"/>
              </w:rPr>
              <w:t>748</w:t>
            </w:r>
          </w:p>
        </w:tc>
        <w:tc>
          <w:tcPr>
            <w:tcW w:w="180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  <w:bookmarkStart w:id="0" w:name="_GoBack"/>
      <w:bookmarkEnd w:id="0"/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01.04.2020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201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9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201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201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4E3740" w:rsidRPr="00D43145" w:rsidRDefault="001D1DD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58713</w:t>
            </w:r>
          </w:p>
        </w:tc>
        <w:tc>
          <w:tcPr>
            <w:tcW w:w="1349" w:type="dxa"/>
          </w:tcPr>
          <w:p w:rsidR="004E3740" w:rsidRPr="00D43145" w:rsidRDefault="001D1DD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12156</w:t>
            </w:r>
          </w:p>
        </w:tc>
        <w:tc>
          <w:tcPr>
            <w:tcW w:w="1643" w:type="dxa"/>
          </w:tcPr>
          <w:p w:rsidR="004E3740" w:rsidRPr="00D43145" w:rsidRDefault="001D1DD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20,70</w:t>
            </w:r>
          </w:p>
        </w:tc>
        <w:tc>
          <w:tcPr>
            <w:tcW w:w="1349" w:type="dxa"/>
          </w:tcPr>
          <w:p w:rsidR="004E3740" w:rsidRPr="00D43145" w:rsidRDefault="00F60F0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10632</w:t>
            </w:r>
          </w:p>
        </w:tc>
        <w:tc>
          <w:tcPr>
            <w:tcW w:w="1613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4E3740" w:rsidRPr="00D43145" w:rsidRDefault="001D1DD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11950</w:t>
            </w:r>
          </w:p>
        </w:tc>
        <w:tc>
          <w:tcPr>
            <w:tcW w:w="1349" w:type="dxa"/>
          </w:tcPr>
          <w:p w:rsidR="004E3740" w:rsidRPr="00D43145" w:rsidRDefault="001D1DD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2386</w:t>
            </w:r>
          </w:p>
        </w:tc>
        <w:tc>
          <w:tcPr>
            <w:tcW w:w="1643" w:type="dxa"/>
          </w:tcPr>
          <w:p w:rsidR="004E3740" w:rsidRPr="00D43145" w:rsidRDefault="001D1DD1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19,97</w:t>
            </w:r>
          </w:p>
        </w:tc>
        <w:tc>
          <w:tcPr>
            <w:tcW w:w="1349" w:type="dxa"/>
          </w:tcPr>
          <w:p w:rsidR="004E3740" w:rsidRPr="00D43145" w:rsidRDefault="00F60F0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2502</w:t>
            </w:r>
          </w:p>
        </w:tc>
        <w:tc>
          <w:tcPr>
            <w:tcW w:w="1613" w:type="dxa"/>
          </w:tcPr>
          <w:p w:rsidR="004E3740" w:rsidRPr="00D43145" w:rsidRDefault="00F60F0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95,4</w:t>
            </w:r>
          </w:p>
        </w:tc>
      </w:tr>
      <w:tr w:rsidR="00D43145" w:rsidTr="00D43145">
        <w:tc>
          <w:tcPr>
            <w:tcW w:w="3011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4E3740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364</w:t>
            </w:r>
          </w:p>
        </w:tc>
        <w:tc>
          <w:tcPr>
            <w:tcW w:w="1349" w:type="dxa"/>
          </w:tcPr>
          <w:p w:rsidR="004E3740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77</w:t>
            </w:r>
          </w:p>
        </w:tc>
        <w:tc>
          <w:tcPr>
            <w:tcW w:w="1643" w:type="dxa"/>
          </w:tcPr>
          <w:p w:rsidR="004E3740" w:rsidRDefault="001D1DD1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21,05</w:t>
            </w:r>
          </w:p>
        </w:tc>
        <w:tc>
          <w:tcPr>
            <w:tcW w:w="1349" w:type="dxa"/>
          </w:tcPr>
          <w:p w:rsidR="004E3740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69</w:t>
            </w:r>
          </w:p>
        </w:tc>
        <w:tc>
          <w:tcPr>
            <w:tcW w:w="1613" w:type="dxa"/>
          </w:tcPr>
          <w:p w:rsidR="004E3740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111,6</w:t>
            </w:r>
          </w:p>
        </w:tc>
      </w:tr>
      <w:tr w:rsidR="00D43145" w:rsidTr="00D43145">
        <w:tc>
          <w:tcPr>
            <w:tcW w:w="3011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Акцизы на нефтепродукты</w:t>
            </w:r>
          </w:p>
        </w:tc>
        <w:tc>
          <w:tcPr>
            <w:tcW w:w="1349" w:type="dxa"/>
          </w:tcPr>
          <w:p w:rsidR="004E3740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8286</w:t>
            </w:r>
          </w:p>
        </w:tc>
        <w:tc>
          <w:tcPr>
            <w:tcW w:w="1349" w:type="dxa"/>
          </w:tcPr>
          <w:p w:rsidR="004E3740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1880</w:t>
            </w:r>
          </w:p>
        </w:tc>
        <w:tc>
          <w:tcPr>
            <w:tcW w:w="1643" w:type="dxa"/>
          </w:tcPr>
          <w:p w:rsidR="004E3740" w:rsidRDefault="001D1DD1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22,69</w:t>
            </w:r>
          </w:p>
        </w:tc>
        <w:tc>
          <w:tcPr>
            <w:tcW w:w="1349" w:type="dxa"/>
          </w:tcPr>
          <w:p w:rsidR="004E3740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1974</w:t>
            </w:r>
          </w:p>
        </w:tc>
        <w:tc>
          <w:tcPr>
            <w:tcW w:w="1613" w:type="dxa"/>
          </w:tcPr>
          <w:p w:rsidR="004E3740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95,2</w:t>
            </w:r>
          </w:p>
        </w:tc>
      </w:tr>
      <w:tr w:rsidR="00D43145" w:rsidTr="00D43145">
        <w:tc>
          <w:tcPr>
            <w:tcW w:w="3011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налог,</w:t>
            </w:r>
            <w:r w:rsidR="00D43145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взимаемый с налогоплательщиков,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применяющих упрощенную систему налогообложения</w:t>
            </w:r>
          </w:p>
        </w:tc>
        <w:tc>
          <w:tcPr>
            <w:tcW w:w="1349" w:type="dxa"/>
          </w:tcPr>
          <w:p w:rsidR="004E3740" w:rsidRDefault="001D1DD1" w:rsidP="008A312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589</w:t>
            </w:r>
          </w:p>
        </w:tc>
        <w:tc>
          <w:tcPr>
            <w:tcW w:w="1349" w:type="dxa"/>
          </w:tcPr>
          <w:p w:rsidR="004E3740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</w:t>
            </w:r>
          </w:p>
        </w:tc>
        <w:tc>
          <w:tcPr>
            <w:tcW w:w="1643" w:type="dxa"/>
          </w:tcPr>
          <w:p w:rsidR="004E3740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16,21</w:t>
            </w:r>
          </w:p>
        </w:tc>
        <w:tc>
          <w:tcPr>
            <w:tcW w:w="1349" w:type="dxa"/>
          </w:tcPr>
          <w:p w:rsidR="004E3740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116</w:t>
            </w:r>
          </w:p>
        </w:tc>
        <w:tc>
          <w:tcPr>
            <w:tcW w:w="1613" w:type="dxa"/>
          </w:tcPr>
          <w:p w:rsidR="004E3740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82,7</w:t>
            </w:r>
          </w:p>
        </w:tc>
      </w:tr>
      <w:tr w:rsidR="00D43145" w:rsidTr="00D43145">
        <w:tc>
          <w:tcPr>
            <w:tcW w:w="3011" w:type="dxa"/>
          </w:tcPr>
          <w:p w:rsid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D43145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760</w:t>
            </w:r>
          </w:p>
        </w:tc>
        <w:tc>
          <w:tcPr>
            <w:tcW w:w="1349" w:type="dxa"/>
          </w:tcPr>
          <w:p w:rsidR="00D43145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55</w:t>
            </w:r>
          </w:p>
        </w:tc>
        <w:tc>
          <w:tcPr>
            <w:tcW w:w="1643" w:type="dxa"/>
          </w:tcPr>
          <w:p w:rsidR="00D43145" w:rsidRDefault="001D1DD1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7,18</w:t>
            </w:r>
          </w:p>
        </w:tc>
        <w:tc>
          <w:tcPr>
            <w:tcW w:w="1349" w:type="dxa"/>
          </w:tcPr>
          <w:p w:rsidR="00D4314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32</w:t>
            </w:r>
          </w:p>
        </w:tc>
        <w:tc>
          <w:tcPr>
            <w:tcW w:w="1613" w:type="dxa"/>
          </w:tcPr>
          <w:p w:rsidR="00D4314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171,9</w:t>
            </w:r>
          </w:p>
        </w:tc>
      </w:tr>
      <w:tr w:rsidR="00D43145" w:rsidTr="00D43145">
        <w:tc>
          <w:tcPr>
            <w:tcW w:w="3011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земельный налог</w:t>
            </w:r>
          </w:p>
        </w:tc>
        <w:tc>
          <w:tcPr>
            <w:tcW w:w="1349" w:type="dxa"/>
          </w:tcPr>
          <w:p w:rsidR="004E3740" w:rsidRDefault="001D1DD1" w:rsidP="00F60F0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17</w:t>
            </w:r>
            <w:r w:rsidR="00F60F09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61</w:t>
            </w:r>
          </w:p>
        </w:tc>
        <w:tc>
          <w:tcPr>
            <w:tcW w:w="1349" w:type="dxa"/>
          </w:tcPr>
          <w:p w:rsidR="004E3740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246</w:t>
            </w:r>
          </w:p>
        </w:tc>
        <w:tc>
          <w:tcPr>
            <w:tcW w:w="1643" w:type="dxa"/>
          </w:tcPr>
          <w:p w:rsidR="004E3740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13,99</w:t>
            </w:r>
          </w:p>
        </w:tc>
        <w:tc>
          <w:tcPr>
            <w:tcW w:w="1349" w:type="dxa"/>
          </w:tcPr>
          <w:p w:rsidR="004E3740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201</w:t>
            </w:r>
          </w:p>
        </w:tc>
        <w:tc>
          <w:tcPr>
            <w:tcW w:w="1613" w:type="dxa"/>
          </w:tcPr>
          <w:p w:rsidR="004E3740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122,4</w:t>
            </w:r>
          </w:p>
        </w:tc>
      </w:tr>
      <w:tr w:rsidR="00D43145" w:rsidTr="00D43145">
        <w:tc>
          <w:tcPr>
            <w:tcW w:w="3011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неналоговые доходы</w:t>
            </w:r>
          </w:p>
        </w:tc>
        <w:tc>
          <w:tcPr>
            <w:tcW w:w="1349" w:type="dxa"/>
          </w:tcPr>
          <w:p w:rsidR="004E3740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190</w:t>
            </w:r>
          </w:p>
        </w:tc>
        <w:tc>
          <w:tcPr>
            <w:tcW w:w="1349" w:type="dxa"/>
          </w:tcPr>
          <w:p w:rsidR="004E3740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32</w:t>
            </w:r>
          </w:p>
        </w:tc>
        <w:tc>
          <w:tcPr>
            <w:tcW w:w="1643" w:type="dxa"/>
          </w:tcPr>
          <w:p w:rsidR="004E3740" w:rsidRDefault="005A342E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102,</w:t>
            </w:r>
            <w:r w:rsidR="00E5597E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79</w:t>
            </w:r>
          </w:p>
        </w:tc>
        <w:tc>
          <w:tcPr>
            <w:tcW w:w="1349" w:type="dxa"/>
          </w:tcPr>
          <w:p w:rsidR="004E3740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110</w:t>
            </w:r>
          </w:p>
        </w:tc>
        <w:tc>
          <w:tcPr>
            <w:tcW w:w="1613" w:type="dxa"/>
          </w:tcPr>
          <w:p w:rsidR="004E3740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29,1</w:t>
            </w:r>
          </w:p>
        </w:tc>
      </w:tr>
      <w:tr w:rsidR="00D43145" w:rsidTr="00D43145">
        <w:tc>
          <w:tcPr>
            <w:tcW w:w="3011" w:type="dxa"/>
          </w:tcPr>
          <w:p w:rsidR="004E3740" w:rsidRP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4E3740" w:rsidRP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46763</w:t>
            </w:r>
          </w:p>
        </w:tc>
        <w:tc>
          <w:tcPr>
            <w:tcW w:w="1349" w:type="dxa"/>
          </w:tcPr>
          <w:p w:rsidR="004E3740" w:rsidRP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9770</w:t>
            </w:r>
          </w:p>
        </w:tc>
        <w:tc>
          <w:tcPr>
            <w:tcW w:w="1643" w:type="dxa"/>
          </w:tcPr>
          <w:p w:rsidR="004E3740" w:rsidRP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20,89</w:t>
            </w:r>
          </w:p>
        </w:tc>
        <w:tc>
          <w:tcPr>
            <w:tcW w:w="1349" w:type="dxa"/>
          </w:tcPr>
          <w:p w:rsidR="004E3740" w:rsidRP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8130</w:t>
            </w:r>
          </w:p>
        </w:tc>
        <w:tc>
          <w:tcPr>
            <w:tcW w:w="1613" w:type="dxa"/>
          </w:tcPr>
          <w:p w:rsidR="004E3740" w:rsidRP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120,2</w:t>
            </w:r>
          </w:p>
        </w:tc>
      </w:tr>
      <w:tr w:rsidR="00D43145" w:rsidTr="00D43145">
        <w:tc>
          <w:tcPr>
            <w:tcW w:w="3011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дотации</w:t>
            </w:r>
          </w:p>
        </w:tc>
        <w:tc>
          <w:tcPr>
            <w:tcW w:w="1349" w:type="dxa"/>
          </w:tcPr>
          <w:p w:rsidR="00D4314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5341</w:t>
            </w:r>
          </w:p>
        </w:tc>
        <w:tc>
          <w:tcPr>
            <w:tcW w:w="1349" w:type="dxa"/>
          </w:tcPr>
          <w:p w:rsidR="00D4314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1335</w:t>
            </w:r>
          </w:p>
        </w:tc>
        <w:tc>
          <w:tcPr>
            <w:tcW w:w="1643" w:type="dxa"/>
          </w:tcPr>
          <w:p w:rsidR="00D4314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25</w:t>
            </w:r>
          </w:p>
        </w:tc>
        <w:tc>
          <w:tcPr>
            <w:tcW w:w="1349" w:type="dxa"/>
          </w:tcPr>
          <w:p w:rsidR="00D43145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2700</w:t>
            </w:r>
          </w:p>
        </w:tc>
        <w:tc>
          <w:tcPr>
            <w:tcW w:w="1613" w:type="dxa"/>
          </w:tcPr>
          <w:p w:rsidR="00D43145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49,4</w:t>
            </w:r>
          </w:p>
        </w:tc>
      </w:tr>
      <w:tr w:rsidR="00D43145" w:rsidTr="00D43145">
        <w:tc>
          <w:tcPr>
            <w:tcW w:w="3011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субвенции</w:t>
            </w:r>
          </w:p>
        </w:tc>
        <w:tc>
          <w:tcPr>
            <w:tcW w:w="1349" w:type="dxa"/>
          </w:tcPr>
          <w:p w:rsidR="00D4314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238</w:t>
            </w:r>
          </w:p>
        </w:tc>
        <w:tc>
          <w:tcPr>
            <w:tcW w:w="1349" w:type="dxa"/>
          </w:tcPr>
          <w:p w:rsidR="00D4314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60</w:t>
            </w:r>
          </w:p>
        </w:tc>
        <w:tc>
          <w:tcPr>
            <w:tcW w:w="1643" w:type="dxa"/>
          </w:tcPr>
          <w:p w:rsidR="00D4314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25,11</w:t>
            </w:r>
          </w:p>
        </w:tc>
        <w:tc>
          <w:tcPr>
            <w:tcW w:w="1349" w:type="dxa"/>
          </w:tcPr>
          <w:p w:rsidR="00D43145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61</w:t>
            </w:r>
          </w:p>
        </w:tc>
        <w:tc>
          <w:tcPr>
            <w:tcW w:w="1613" w:type="dxa"/>
          </w:tcPr>
          <w:p w:rsidR="00D43145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98,4</w:t>
            </w:r>
          </w:p>
        </w:tc>
      </w:tr>
      <w:tr w:rsidR="009C7135" w:rsidTr="00D43145">
        <w:tc>
          <w:tcPr>
            <w:tcW w:w="3011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9C713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4291</w:t>
            </w:r>
          </w:p>
        </w:tc>
        <w:tc>
          <w:tcPr>
            <w:tcW w:w="1349" w:type="dxa"/>
          </w:tcPr>
          <w:p w:rsidR="009C713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43" w:type="dxa"/>
          </w:tcPr>
          <w:p w:rsidR="009C713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9C713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13" w:type="dxa"/>
          </w:tcPr>
          <w:p w:rsidR="009C7135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8A3122" w:rsidTr="00D43145">
        <w:tc>
          <w:tcPr>
            <w:tcW w:w="3011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36893</w:t>
            </w:r>
          </w:p>
        </w:tc>
        <w:tc>
          <w:tcPr>
            <w:tcW w:w="1349" w:type="dxa"/>
          </w:tcPr>
          <w:p w:rsid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8375</w:t>
            </w:r>
          </w:p>
        </w:tc>
        <w:tc>
          <w:tcPr>
            <w:tcW w:w="1643" w:type="dxa"/>
          </w:tcPr>
          <w:p w:rsid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22,70</w:t>
            </w:r>
          </w:p>
        </w:tc>
        <w:tc>
          <w:tcPr>
            <w:tcW w:w="1349" w:type="dxa"/>
          </w:tcPr>
          <w:p w:rsidR="008A3122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5466</w:t>
            </w:r>
          </w:p>
        </w:tc>
        <w:tc>
          <w:tcPr>
            <w:tcW w:w="1613" w:type="dxa"/>
          </w:tcPr>
          <w:p w:rsidR="008A3122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153,2</w:t>
            </w:r>
          </w:p>
        </w:tc>
      </w:tr>
      <w:tr w:rsidR="008A3122" w:rsidTr="00D43145">
        <w:tc>
          <w:tcPr>
            <w:tcW w:w="3011" w:type="dxa"/>
          </w:tcPr>
          <w:p w:rsid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безвозмездные поступления</w:t>
            </w:r>
          </w:p>
        </w:tc>
        <w:tc>
          <w:tcPr>
            <w:tcW w:w="1349" w:type="dxa"/>
          </w:tcPr>
          <w:p w:rsid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43" w:type="dxa"/>
          </w:tcPr>
          <w:p w:rsid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349" w:type="dxa"/>
          </w:tcPr>
          <w:p w:rsid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  <w:tc>
          <w:tcPr>
            <w:tcW w:w="1613" w:type="dxa"/>
          </w:tcPr>
          <w:p w:rsidR="008A3122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</w:t>
            </w:r>
          </w:p>
        </w:tc>
      </w:tr>
      <w:tr w:rsidR="00F60F09" w:rsidTr="00D43145">
        <w:tc>
          <w:tcPr>
            <w:tcW w:w="3011" w:type="dxa"/>
          </w:tcPr>
          <w:p w:rsidR="00F60F09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возврат прочих остатков</w:t>
            </w:r>
          </w:p>
        </w:tc>
        <w:tc>
          <w:tcPr>
            <w:tcW w:w="1349" w:type="dxa"/>
          </w:tcPr>
          <w:p w:rsidR="00F60F09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F60F09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43" w:type="dxa"/>
          </w:tcPr>
          <w:p w:rsidR="00F60F09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F60F09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-97</w:t>
            </w:r>
          </w:p>
        </w:tc>
        <w:tc>
          <w:tcPr>
            <w:tcW w:w="1613" w:type="dxa"/>
          </w:tcPr>
          <w:p w:rsidR="00F60F09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Анализ исполнения за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 в сравнении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201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9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16427A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16427A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16427A" w:rsidP="00432FA4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1982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16427A" w:rsidP="00EB7F4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11379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2641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23,21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133,2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B43FAC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22,64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110,2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1043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27,19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205,8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1073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9793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2086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21,31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194,4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1509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8930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589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6,60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39,0</w:t>
                                  </w:r>
                                </w:p>
                              </w:tc>
                            </w:tr>
                            <w:tr w:rsidR="00EB7F4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B7F4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B7F4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B7F41" w:rsidRPr="00AE707A" w:rsidRDefault="00EB7F4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B7F41" w:rsidRPr="00B43FAC" w:rsidRDefault="0016427A" w:rsidP="0075179D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4909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16427A" w:rsidP="00F76C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26323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16427A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5732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B7F41" w:rsidRPr="00B43FAC" w:rsidRDefault="0016427A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21,78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B7F41" w:rsidRPr="00B43FAC" w:rsidRDefault="0016427A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116,8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16427A" w:rsidP="0016427A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2,23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180FD6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75,9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16427A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9692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180FD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58713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180FD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11408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180FD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19,43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180FD6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117,7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" fillcolor="#e6b9b8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16427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16427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16427A" w:rsidP="00432FA4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1982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16427A" w:rsidP="00EB7F4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11379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2641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23,21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133,2</w:t>
                            </w:r>
                          </w:p>
                        </w:tc>
                      </w:tr>
                      <w:tr w:rsidR="00804421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B43FAC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22,64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110,2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1043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27,19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205,8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1073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9793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2086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21,31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194,4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1509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8930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589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6,60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39,0</w:t>
                            </w:r>
                          </w:p>
                        </w:tc>
                      </w:tr>
                      <w:tr w:rsidR="00EB7F4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EB7F4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EB7F4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EB7F41" w:rsidRPr="00AE707A" w:rsidRDefault="00EB7F4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B7F41" w:rsidRPr="00B43FAC" w:rsidRDefault="0016427A" w:rsidP="0075179D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4909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16427A" w:rsidP="00F76C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26323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16427A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5732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B7F41" w:rsidRPr="00B43FAC" w:rsidRDefault="0016427A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21,78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B7F41" w:rsidRPr="00B43FAC" w:rsidRDefault="0016427A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116,8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16427A" w:rsidP="0016427A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2,23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180FD6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75,9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16427A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9692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180FD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58713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180FD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11408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180FD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19,43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180FD6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117,7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913B8" w:rsidRPr="00B43FAC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201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>9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180FD6">
        <w:rPr>
          <w:rFonts w:ascii="Liberation Serif" w:hAnsi="Liberation Serif" w:cs="Times New Roman"/>
          <w:sz w:val="28"/>
          <w:szCs w:val="28"/>
        </w:rPr>
        <w:t>50,65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180FD6">
        <w:rPr>
          <w:rFonts w:ascii="Liberation Serif" w:hAnsi="Liberation Serif" w:cs="Times New Roman"/>
          <w:sz w:val="28"/>
          <w:szCs w:val="28"/>
        </w:rPr>
        <w:t>20,45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жилищно-коммунальное хозяйство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180FD6">
        <w:rPr>
          <w:rFonts w:ascii="Liberation Serif" w:hAnsi="Liberation Serif" w:cs="Times New Roman"/>
          <w:sz w:val="28"/>
          <w:szCs w:val="28"/>
        </w:rPr>
        <w:t>15,57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  национальная экономика </w:t>
      </w:r>
      <w:r w:rsidR="00180FD6">
        <w:rPr>
          <w:rFonts w:ascii="Liberation Serif" w:hAnsi="Liberation Serif" w:cs="Times New Roman"/>
          <w:sz w:val="28"/>
          <w:szCs w:val="28"/>
        </w:rPr>
        <w:t>11,07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042660" cy="5554980"/>
            <wp:effectExtent l="1905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B43FAC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исполнения расходов 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квартал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180FD6">
        <w:rPr>
          <w:rFonts w:ascii="Liberation Serif" w:hAnsi="Liberation Serif" w:cs="Times New Roman"/>
          <w:sz w:val="28"/>
          <w:szCs w:val="28"/>
        </w:rPr>
        <w:t>50,25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180FD6">
        <w:rPr>
          <w:rFonts w:ascii="Liberation Serif" w:hAnsi="Liberation Serif" w:cs="Times New Roman"/>
          <w:sz w:val="28"/>
          <w:szCs w:val="28"/>
        </w:rPr>
        <w:t>23,15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180FD6">
        <w:rPr>
          <w:rFonts w:ascii="Liberation Serif" w:hAnsi="Liberation Serif" w:cs="Times New Roman"/>
          <w:sz w:val="28"/>
          <w:szCs w:val="28"/>
        </w:rPr>
        <w:t>18,29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3810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3B8" w:rsidRPr="001E3675" w:rsidRDefault="003360FE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C53FEA5" wp14:editId="5D5CD0B6">
            <wp:extent cx="5074920" cy="28651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461010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01.01.2018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Pr="00A028F7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36.3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01.01.2018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bookmarkEnd w:id="1"/>
                    <w:p w:rsidR="003360FE" w:rsidRPr="00A028F7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B501C"/>
    <w:rsid w:val="000B55B9"/>
    <w:rsid w:val="000B627A"/>
    <w:rsid w:val="000C24E1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5CF"/>
    <w:rsid w:val="007419E6"/>
    <w:rsid w:val="007420A8"/>
    <w:rsid w:val="007522E9"/>
    <w:rsid w:val="00754B47"/>
    <w:rsid w:val="007562AE"/>
    <w:rsid w:val="00756766"/>
    <w:rsid w:val="00762784"/>
    <w:rsid w:val="00781EF4"/>
    <w:rsid w:val="00784319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5168"/>
    <w:rsid w:val="009320B3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104E"/>
    <w:rsid w:val="00B51509"/>
    <w:rsid w:val="00B5623F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6348"/>
    <w:rsid w:val="00D951F7"/>
    <w:rsid w:val="00D95C86"/>
    <w:rsid w:val="00DA17E4"/>
    <w:rsid w:val="00DA39C7"/>
    <w:rsid w:val="00DA523D"/>
    <w:rsid w:val="00DA59DE"/>
    <w:rsid w:val="00DA7898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51C0"/>
    <w:rsid w:val="00F25570"/>
    <w:rsid w:val="00F305B0"/>
    <w:rsid w:val="00F30D58"/>
    <w:rsid w:val="00F3178D"/>
    <w:rsid w:val="00F41D0B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9574568104361E-2"/>
          <c:y val="3.6714681498146065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10632</c:v>
                </c:pt>
                <c:pt idx="3">
                  <c:v>12156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9692</c:v>
                </c:pt>
                <c:pt idx="3">
                  <c:v>11408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17094272"/>
        <c:axId val="117095808"/>
        <c:axId val="117072320"/>
      </c:bar3DChart>
      <c:catAx>
        <c:axId val="1170942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117095808"/>
        <c:crosses val="autoZero"/>
        <c:auto val="1"/>
        <c:lblAlgn val="ctr"/>
        <c:lblOffset val="100"/>
        <c:noMultiLvlLbl val="0"/>
      </c:catAx>
      <c:valAx>
        <c:axId val="117095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7094272"/>
        <c:crosses val="autoZero"/>
        <c:crossBetween val="between"/>
      </c:valAx>
      <c:serAx>
        <c:axId val="117072320"/>
        <c:scaling>
          <c:orientation val="minMax"/>
        </c:scaling>
        <c:delete val="1"/>
        <c:axPos val="b"/>
        <c:majorTickMark val="none"/>
        <c:minorTickMark val="none"/>
        <c:tickLblPos val="nextTo"/>
        <c:crossAx val="117095808"/>
        <c:crosses val="autoZero"/>
      </c:ser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1 квартал 2020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70166229221347E-2"/>
          <c:y val="0.14781762959026215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3"/>
          <c:dLbls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7936507936507E-3"/>
                  <c:y val="-0.248503167787863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налог, взимаемый с налогоплательщиков, применяющих упрощенную систему налообложения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77</c:v>
                </c:pt>
                <c:pt idx="1">
                  <c:v>1880</c:v>
                </c:pt>
                <c:pt idx="2">
                  <c:v>96</c:v>
                </c:pt>
                <c:pt idx="3">
                  <c:v>55</c:v>
                </c:pt>
                <c:pt idx="4">
                  <c:v>246</c:v>
                </c:pt>
                <c:pt idx="5">
                  <c:v>18</c:v>
                </c:pt>
                <c:pt idx="6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1 квартал  2020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49866637469847E-2"/>
          <c:y val="0.2038953790093450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  <c:pt idx="4">
                  <c:v>возврат прочих остатков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1335</c:v>
                </c:pt>
                <c:pt idx="1">
                  <c:v>60</c:v>
                </c:pt>
                <c:pt idx="2">
                  <c:v>0</c:v>
                </c:pt>
                <c:pt idx="3">
                  <c:v>8375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2392</c:v>
                </c:pt>
                <c:pt idx="1">
                  <c:v>110</c:v>
                </c:pt>
                <c:pt idx="2">
                  <c:v>8130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2354</c:v>
                </c:pt>
                <c:pt idx="1">
                  <c:v>32</c:v>
                </c:pt>
                <c:pt idx="2">
                  <c:v>9770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7029504"/>
        <c:axId val="117055872"/>
        <c:axId val="0"/>
      </c:bar3DChart>
      <c:catAx>
        <c:axId val="1170295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7055872"/>
        <c:crosses val="autoZero"/>
        <c:auto val="1"/>
        <c:lblAlgn val="ctr"/>
        <c:lblOffset val="100"/>
        <c:noMultiLvlLbl val="0"/>
      </c:catAx>
      <c:valAx>
        <c:axId val="11705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029504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825636563502E-2"/>
          <c:y val="7.3464912280701761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6818990736665E-4"/>
                  <c:y val="-0.16092191601049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1982</c:v>
                </c:pt>
                <c:pt idx="1">
                  <c:v>49</c:v>
                </c:pt>
                <c:pt idx="2">
                  <c:v>138</c:v>
                </c:pt>
                <c:pt idx="3">
                  <c:v>1073</c:v>
                </c:pt>
                <c:pt idx="4">
                  <c:v>1509</c:v>
                </c:pt>
                <c:pt idx="5">
                  <c:v>0</c:v>
                </c:pt>
                <c:pt idx="6">
                  <c:v>3</c:v>
                </c:pt>
                <c:pt idx="7">
                  <c:v>4909</c:v>
                </c:pt>
                <c:pt idx="8">
                  <c:v>0</c:v>
                </c:pt>
                <c:pt idx="9">
                  <c:v>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932955618508E-4"/>
                  <c:y val="-0.16530788092277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4655368432416389E-2"/>
                  <c:y val="4.82925818483215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2641</c:v>
                </c:pt>
                <c:pt idx="1">
                  <c:v>54</c:v>
                </c:pt>
                <c:pt idx="2">
                  <c:v>284</c:v>
                </c:pt>
                <c:pt idx="3">
                  <c:v>2086</c:v>
                </c:pt>
                <c:pt idx="4">
                  <c:v>589</c:v>
                </c:pt>
                <c:pt idx="5">
                  <c:v>0</c:v>
                </c:pt>
                <c:pt idx="6">
                  <c:v>0</c:v>
                </c:pt>
                <c:pt idx="7">
                  <c:v>5732</c:v>
                </c:pt>
                <c:pt idx="8">
                  <c:v>0</c:v>
                </c:pt>
                <c:pt idx="9">
                  <c:v>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1982</c:v>
                </c:pt>
                <c:pt idx="1">
                  <c:v>4909</c:v>
                </c:pt>
                <c:pt idx="2">
                  <c:v>1509</c:v>
                </c:pt>
                <c:pt idx="3">
                  <c:v>1073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2641</c:v>
                </c:pt>
                <c:pt idx="1">
                  <c:v>5732</c:v>
                </c:pt>
                <c:pt idx="2">
                  <c:v>589</c:v>
                </c:pt>
                <c:pt idx="3">
                  <c:v>2086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1522816"/>
        <c:axId val="121532800"/>
      </c:barChart>
      <c:catAx>
        <c:axId val="1215228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21532800"/>
        <c:crosses val="autoZero"/>
        <c:auto val="1"/>
        <c:lblAlgn val="ctr"/>
        <c:lblOffset val="100"/>
        <c:noMultiLvlLbl val="0"/>
      </c:catAx>
      <c:valAx>
        <c:axId val="12153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1522816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1E05-6EFA-4024-8343-42C2C308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39</cp:revision>
  <cp:lastPrinted>2019-10-28T07:35:00Z</cp:lastPrinted>
  <dcterms:created xsi:type="dcterms:W3CDTF">2019-10-25T11:36:00Z</dcterms:created>
  <dcterms:modified xsi:type="dcterms:W3CDTF">2020-04-15T07:42:00Z</dcterms:modified>
</cp:coreProperties>
</file>