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BB2FFF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31.12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201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9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год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а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BB2FF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>2018 год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BB2FF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за 2019 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DE1D31" w:rsidRPr="00DE1D31" w:rsidTr="00552735">
        <w:tc>
          <w:tcPr>
            <w:tcW w:w="233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DE1D31" w:rsidRPr="009B42FB" w:rsidRDefault="00B0102F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52133,1</w:t>
            </w:r>
          </w:p>
        </w:tc>
        <w:tc>
          <w:tcPr>
            <w:tcW w:w="1842" w:type="dxa"/>
          </w:tcPr>
          <w:p w:rsidR="00DE1D31" w:rsidRPr="009B42FB" w:rsidRDefault="00B0102F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96,43</w:t>
            </w:r>
          </w:p>
        </w:tc>
        <w:tc>
          <w:tcPr>
            <w:tcW w:w="1985" w:type="dxa"/>
          </w:tcPr>
          <w:p w:rsidR="00DE1D31" w:rsidRPr="009B42FB" w:rsidRDefault="00E5597E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56027,3</w:t>
            </w:r>
          </w:p>
        </w:tc>
        <w:tc>
          <w:tcPr>
            <w:tcW w:w="1808" w:type="dxa"/>
          </w:tcPr>
          <w:p w:rsidR="00DE1D31" w:rsidRPr="009B42FB" w:rsidRDefault="00B0102F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99,5</w:t>
            </w:r>
            <w:r w:rsidR="00E5597E">
              <w:rPr>
                <w:rFonts w:ascii="Liberation Serif" w:hAnsi="Liberation Serif" w:cs="Times New Roman"/>
                <w:sz w:val="32"/>
                <w:szCs w:val="32"/>
              </w:rPr>
              <w:t>4</w:t>
            </w:r>
          </w:p>
        </w:tc>
      </w:tr>
      <w:tr w:rsidR="00DE1D31" w:rsidRPr="00DE1D31" w:rsidTr="00552735">
        <w:tc>
          <w:tcPr>
            <w:tcW w:w="233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DE1D31" w:rsidRPr="009B42FB" w:rsidRDefault="00B0102F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51016,9</w:t>
            </w:r>
          </w:p>
        </w:tc>
        <w:tc>
          <w:tcPr>
            <w:tcW w:w="1842" w:type="dxa"/>
          </w:tcPr>
          <w:p w:rsidR="00DE1D31" w:rsidRPr="009B42FB" w:rsidRDefault="00B0102F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94,37</w:t>
            </w:r>
          </w:p>
        </w:tc>
        <w:tc>
          <w:tcPr>
            <w:tcW w:w="1985" w:type="dxa"/>
          </w:tcPr>
          <w:p w:rsidR="00DE1D31" w:rsidRPr="009B42FB" w:rsidRDefault="00B0102F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54602,5</w:t>
            </w:r>
          </w:p>
        </w:tc>
        <w:tc>
          <w:tcPr>
            <w:tcW w:w="1808" w:type="dxa"/>
          </w:tcPr>
          <w:p w:rsidR="00DE1D31" w:rsidRPr="009B42FB" w:rsidRDefault="00B0102F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96,04</w:t>
            </w:r>
          </w:p>
        </w:tc>
      </w:tr>
      <w:tr w:rsidR="00DE1D31" w:rsidRPr="00DE1D31" w:rsidTr="00552735">
        <w:tc>
          <w:tcPr>
            <w:tcW w:w="233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DE1D31" w:rsidRPr="009B42FB" w:rsidRDefault="00DE1D31" w:rsidP="00B0102F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 w:rsidR="00B0102F">
              <w:rPr>
                <w:rFonts w:ascii="Liberation Serif" w:hAnsi="Liberation Serif" w:cs="Times New Roman"/>
                <w:sz w:val="32"/>
                <w:szCs w:val="32"/>
              </w:rPr>
              <w:t>1116,2</w:t>
            </w:r>
          </w:p>
        </w:tc>
        <w:tc>
          <w:tcPr>
            <w:tcW w:w="1842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E1D31" w:rsidRPr="009B42FB" w:rsidRDefault="00DE1D31" w:rsidP="00B0102F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 w:rsidR="00B0102F">
              <w:rPr>
                <w:rFonts w:ascii="Liberation Serif" w:hAnsi="Liberation Serif" w:cs="Times New Roman"/>
                <w:sz w:val="32"/>
                <w:szCs w:val="32"/>
              </w:rPr>
              <w:t>1401,3</w:t>
            </w:r>
          </w:p>
        </w:tc>
        <w:tc>
          <w:tcPr>
            <w:tcW w:w="180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на </w:t>
      </w:r>
      <w:r w:rsidR="00B0102F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31.12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.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201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9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2018 года</w:t>
      </w:r>
    </w:p>
    <w:p w:rsidR="009B42FB" w:rsidRDefault="009B42FB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2019 год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2018 год</w:t>
            </w:r>
          </w:p>
        </w:tc>
        <w:tc>
          <w:tcPr>
            <w:tcW w:w="1613" w:type="dxa"/>
            <w:vMerge w:val="restart"/>
          </w:tcPr>
          <w:p w:rsidR="004E3740" w:rsidRDefault="004E3740" w:rsidP="00EC139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201</w:t>
            </w:r>
            <w:r w:rsidR="00EC1396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4E3740" w:rsidRPr="00D43145" w:rsidRDefault="001B763A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56286,9</w:t>
            </w:r>
          </w:p>
        </w:tc>
        <w:tc>
          <w:tcPr>
            <w:tcW w:w="1349" w:type="dxa"/>
          </w:tcPr>
          <w:p w:rsidR="004E3740" w:rsidRPr="00D43145" w:rsidRDefault="00112A17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56027,3</w:t>
            </w:r>
          </w:p>
        </w:tc>
        <w:tc>
          <w:tcPr>
            <w:tcW w:w="1643" w:type="dxa"/>
          </w:tcPr>
          <w:p w:rsidR="004E3740" w:rsidRPr="00D43145" w:rsidRDefault="001B763A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99,5</w:t>
            </w:r>
            <w:r w:rsidR="00112A17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</w:t>
            </w:r>
          </w:p>
        </w:tc>
        <w:tc>
          <w:tcPr>
            <w:tcW w:w="1349" w:type="dxa"/>
          </w:tcPr>
          <w:p w:rsidR="004E3740" w:rsidRPr="00D43145" w:rsidRDefault="00F452E7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52133,1</w:t>
            </w:r>
          </w:p>
        </w:tc>
        <w:tc>
          <w:tcPr>
            <w:tcW w:w="1613" w:type="dxa"/>
          </w:tcPr>
          <w:p w:rsidR="004E3740" w:rsidRPr="00D43145" w:rsidRDefault="00EC139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107,47</w:t>
            </w: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4E3740" w:rsidRPr="00D43145" w:rsidRDefault="005A342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11885,8</w:t>
            </w:r>
          </w:p>
        </w:tc>
        <w:tc>
          <w:tcPr>
            <w:tcW w:w="1349" w:type="dxa"/>
          </w:tcPr>
          <w:p w:rsidR="004E3740" w:rsidRPr="00D43145" w:rsidRDefault="00112A17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11946,5</w:t>
            </w:r>
          </w:p>
        </w:tc>
        <w:tc>
          <w:tcPr>
            <w:tcW w:w="1643" w:type="dxa"/>
          </w:tcPr>
          <w:p w:rsidR="004E3740" w:rsidRPr="00D43145" w:rsidRDefault="005A342E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100,</w:t>
            </w:r>
            <w:r w:rsidR="00112A17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</w:t>
            </w:r>
          </w:p>
        </w:tc>
        <w:tc>
          <w:tcPr>
            <w:tcW w:w="1349" w:type="dxa"/>
          </w:tcPr>
          <w:p w:rsidR="004E3740" w:rsidRPr="00D43145" w:rsidRDefault="00F452E7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6966,8</w:t>
            </w:r>
          </w:p>
        </w:tc>
        <w:tc>
          <w:tcPr>
            <w:tcW w:w="1613" w:type="dxa"/>
          </w:tcPr>
          <w:p w:rsidR="004E3740" w:rsidRPr="00D43145" w:rsidRDefault="00EC139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171,48</w:t>
            </w:r>
          </w:p>
        </w:tc>
      </w:tr>
      <w:tr w:rsidR="00D43145" w:rsidTr="00D43145">
        <w:tc>
          <w:tcPr>
            <w:tcW w:w="3011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317</w:t>
            </w:r>
            <w:r w:rsidR="008A3122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,0</w:t>
            </w:r>
          </w:p>
        </w:tc>
        <w:tc>
          <w:tcPr>
            <w:tcW w:w="1349" w:type="dxa"/>
          </w:tcPr>
          <w:p w:rsidR="004E3740" w:rsidRDefault="00112A17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338,0</w:t>
            </w:r>
          </w:p>
        </w:tc>
        <w:tc>
          <w:tcPr>
            <w:tcW w:w="1643" w:type="dxa"/>
          </w:tcPr>
          <w:p w:rsidR="004E3740" w:rsidRDefault="00112A17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106,6</w:t>
            </w:r>
          </w:p>
        </w:tc>
        <w:tc>
          <w:tcPr>
            <w:tcW w:w="1349" w:type="dxa"/>
          </w:tcPr>
          <w:p w:rsidR="004E3740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287,5</w:t>
            </w:r>
          </w:p>
        </w:tc>
        <w:tc>
          <w:tcPr>
            <w:tcW w:w="1613" w:type="dxa"/>
          </w:tcPr>
          <w:p w:rsidR="004E3740" w:rsidRDefault="00EC13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117,56</w:t>
            </w:r>
          </w:p>
        </w:tc>
      </w:tr>
      <w:tr w:rsidR="00D43145" w:rsidTr="00D43145">
        <w:tc>
          <w:tcPr>
            <w:tcW w:w="3011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Акцизы на нефтепродукты</w:t>
            </w:r>
          </w:p>
        </w:tc>
        <w:tc>
          <w:tcPr>
            <w:tcW w:w="1349" w:type="dxa"/>
          </w:tcPr>
          <w:p w:rsidR="004E3740" w:rsidRDefault="00B0102F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80</w:t>
            </w:r>
            <w:r w:rsidR="004E374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66</w:t>
            </w:r>
            <w:r w:rsidR="008A3122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,0</w:t>
            </w:r>
          </w:p>
        </w:tc>
        <w:tc>
          <w:tcPr>
            <w:tcW w:w="1349" w:type="dxa"/>
          </w:tcPr>
          <w:p w:rsidR="004E3740" w:rsidRDefault="00B0102F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8167,2</w:t>
            </w:r>
          </w:p>
        </w:tc>
        <w:tc>
          <w:tcPr>
            <w:tcW w:w="1643" w:type="dxa"/>
          </w:tcPr>
          <w:p w:rsidR="004E3740" w:rsidRDefault="005A342E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101,2</w:t>
            </w:r>
          </w:p>
        </w:tc>
        <w:tc>
          <w:tcPr>
            <w:tcW w:w="1349" w:type="dxa"/>
          </w:tcPr>
          <w:p w:rsidR="004E3740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3620,7</w:t>
            </w:r>
          </w:p>
        </w:tc>
        <w:tc>
          <w:tcPr>
            <w:tcW w:w="1613" w:type="dxa"/>
          </w:tcPr>
          <w:p w:rsidR="004E3740" w:rsidRDefault="00EC13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225,57</w:t>
            </w:r>
          </w:p>
        </w:tc>
      </w:tr>
      <w:tr w:rsidR="00D43145" w:rsidTr="00D43145">
        <w:tc>
          <w:tcPr>
            <w:tcW w:w="3011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налог,</w:t>
            </w:r>
            <w:r w:rsidR="00D43145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взимаемый с налогоплательщиков,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применяющих упрощенную систему налогообложения</w:t>
            </w:r>
          </w:p>
        </w:tc>
        <w:tc>
          <w:tcPr>
            <w:tcW w:w="1349" w:type="dxa"/>
          </w:tcPr>
          <w:p w:rsidR="004E3740" w:rsidRDefault="00B0102F" w:rsidP="008A312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356</w:t>
            </w:r>
            <w:r w:rsidR="008A3122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,0</w:t>
            </w:r>
          </w:p>
        </w:tc>
        <w:tc>
          <w:tcPr>
            <w:tcW w:w="1349" w:type="dxa"/>
          </w:tcPr>
          <w:p w:rsidR="004E3740" w:rsidRDefault="00B0102F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354,9</w:t>
            </w:r>
          </w:p>
        </w:tc>
        <w:tc>
          <w:tcPr>
            <w:tcW w:w="1643" w:type="dxa"/>
          </w:tcPr>
          <w:p w:rsidR="004E3740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99,7</w:t>
            </w:r>
          </w:p>
        </w:tc>
        <w:tc>
          <w:tcPr>
            <w:tcW w:w="1349" w:type="dxa"/>
          </w:tcPr>
          <w:p w:rsidR="004E3740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172,7</w:t>
            </w:r>
          </w:p>
        </w:tc>
        <w:tc>
          <w:tcPr>
            <w:tcW w:w="1613" w:type="dxa"/>
          </w:tcPr>
          <w:p w:rsidR="004E3740" w:rsidRDefault="00EC13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205,5</w:t>
            </w:r>
          </w:p>
        </w:tc>
      </w:tr>
      <w:tr w:rsidR="00D43145" w:rsidTr="00D43145">
        <w:tc>
          <w:tcPr>
            <w:tcW w:w="3011" w:type="dxa"/>
          </w:tcPr>
          <w:p w:rsid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999</w:t>
            </w:r>
            <w:r w:rsidR="008A3122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,0</w:t>
            </w:r>
          </w:p>
        </w:tc>
        <w:tc>
          <w:tcPr>
            <w:tcW w:w="1349" w:type="dxa"/>
          </w:tcPr>
          <w:p w:rsidR="00D43145" w:rsidRDefault="00E5597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880</w:t>
            </w:r>
            <w:r w:rsidR="00B0102F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,2</w:t>
            </w:r>
          </w:p>
        </w:tc>
        <w:tc>
          <w:tcPr>
            <w:tcW w:w="1643" w:type="dxa"/>
          </w:tcPr>
          <w:p w:rsidR="00D43145" w:rsidRDefault="001B763A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88</w:t>
            </w:r>
            <w:r w:rsidR="00E5597E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,11</w:t>
            </w:r>
          </w:p>
        </w:tc>
        <w:tc>
          <w:tcPr>
            <w:tcW w:w="1349" w:type="dxa"/>
          </w:tcPr>
          <w:p w:rsidR="00D43145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813,2</w:t>
            </w:r>
          </w:p>
        </w:tc>
        <w:tc>
          <w:tcPr>
            <w:tcW w:w="1613" w:type="dxa"/>
          </w:tcPr>
          <w:p w:rsidR="00D43145" w:rsidRDefault="00EC13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108,24</w:t>
            </w:r>
          </w:p>
        </w:tc>
      </w:tr>
      <w:tr w:rsidR="00D43145" w:rsidTr="00D43145">
        <w:tc>
          <w:tcPr>
            <w:tcW w:w="3011" w:type="dxa"/>
          </w:tcPr>
          <w:p w:rsidR="004E3740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земельный налог</w:t>
            </w:r>
          </w:p>
        </w:tc>
        <w:tc>
          <w:tcPr>
            <w:tcW w:w="1349" w:type="dxa"/>
          </w:tcPr>
          <w:p w:rsidR="004E3740" w:rsidRDefault="005A342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1919,</w:t>
            </w:r>
            <w:r w:rsidR="008A3122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4E3740" w:rsidRDefault="00E5597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1972,6</w:t>
            </w:r>
          </w:p>
        </w:tc>
        <w:tc>
          <w:tcPr>
            <w:tcW w:w="1643" w:type="dxa"/>
          </w:tcPr>
          <w:p w:rsidR="004E3740" w:rsidRDefault="005A342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101,6</w:t>
            </w:r>
          </w:p>
        </w:tc>
        <w:tc>
          <w:tcPr>
            <w:tcW w:w="1349" w:type="dxa"/>
          </w:tcPr>
          <w:p w:rsidR="004E3740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1983,8</w:t>
            </w:r>
          </w:p>
        </w:tc>
        <w:tc>
          <w:tcPr>
            <w:tcW w:w="1613" w:type="dxa"/>
          </w:tcPr>
          <w:p w:rsidR="004E3740" w:rsidRDefault="00EC13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99,44</w:t>
            </w:r>
          </w:p>
        </w:tc>
      </w:tr>
      <w:tr w:rsidR="00D43145" w:rsidTr="00D43145">
        <w:tc>
          <w:tcPr>
            <w:tcW w:w="3011" w:type="dxa"/>
          </w:tcPr>
          <w:p w:rsidR="004E3740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неналоговые доходы</w:t>
            </w:r>
          </w:p>
        </w:tc>
        <w:tc>
          <w:tcPr>
            <w:tcW w:w="1349" w:type="dxa"/>
          </w:tcPr>
          <w:p w:rsidR="004E3740" w:rsidRDefault="005A342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228</w:t>
            </w:r>
            <w:r w:rsidR="00D43145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,8</w:t>
            </w:r>
          </w:p>
        </w:tc>
        <w:tc>
          <w:tcPr>
            <w:tcW w:w="1349" w:type="dxa"/>
          </w:tcPr>
          <w:p w:rsidR="004E3740" w:rsidRDefault="005A342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233,6</w:t>
            </w:r>
          </w:p>
        </w:tc>
        <w:tc>
          <w:tcPr>
            <w:tcW w:w="1643" w:type="dxa"/>
          </w:tcPr>
          <w:p w:rsidR="004E3740" w:rsidRDefault="005A342E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102,</w:t>
            </w:r>
            <w:r w:rsidR="00E5597E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79</w:t>
            </w:r>
          </w:p>
        </w:tc>
        <w:tc>
          <w:tcPr>
            <w:tcW w:w="1349" w:type="dxa"/>
          </w:tcPr>
          <w:p w:rsidR="004E3740" w:rsidRDefault="00F452E7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88,7</w:t>
            </w:r>
          </w:p>
        </w:tc>
        <w:tc>
          <w:tcPr>
            <w:tcW w:w="1613" w:type="dxa"/>
          </w:tcPr>
          <w:p w:rsidR="004E3740" w:rsidRDefault="00EC13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263,36</w:t>
            </w:r>
          </w:p>
        </w:tc>
      </w:tr>
      <w:tr w:rsidR="00D43145" w:rsidTr="00D43145">
        <w:tc>
          <w:tcPr>
            <w:tcW w:w="3011" w:type="dxa"/>
          </w:tcPr>
          <w:p w:rsidR="004E3740" w:rsidRP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4E3740" w:rsidRPr="008A3122" w:rsidRDefault="001B763A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44401,1</w:t>
            </w:r>
          </w:p>
        </w:tc>
        <w:tc>
          <w:tcPr>
            <w:tcW w:w="1349" w:type="dxa"/>
          </w:tcPr>
          <w:p w:rsidR="004E3740" w:rsidRPr="008A3122" w:rsidRDefault="001B763A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44080,8</w:t>
            </w:r>
          </w:p>
        </w:tc>
        <w:tc>
          <w:tcPr>
            <w:tcW w:w="1643" w:type="dxa"/>
          </w:tcPr>
          <w:p w:rsidR="004E3740" w:rsidRPr="008A3122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8A3122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74,2</w:t>
            </w:r>
          </w:p>
        </w:tc>
        <w:tc>
          <w:tcPr>
            <w:tcW w:w="1349" w:type="dxa"/>
          </w:tcPr>
          <w:p w:rsidR="004E3740" w:rsidRPr="008A3122" w:rsidRDefault="00F452E7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45166,3</w:t>
            </w:r>
          </w:p>
        </w:tc>
        <w:tc>
          <w:tcPr>
            <w:tcW w:w="1613" w:type="dxa"/>
          </w:tcPr>
          <w:p w:rsidR="004E3740" w:rsidRPr="008A3122" w:rsidRDefault="00EC139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97,60</w:t>
            </w:r>
          </w:p>
        </w:tc>
      </w:tr>
      <w:tr w:rsidR="00D43145" w:rsidTr="00D43145">
        <w:tc>
          <w:tcPr>
            <w:tcW w:w="3011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дотации</w:t>
            </w:r>
          </w:p>
        </w:tc>
        <w:tc>
          <w:tcPr>
            <w:tcW w:w="1349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10804,0</w:t>
            </w:r>
          </w:p>
        </w:tc>
        <w:tc>
          <w:tcPr>
            <w:tcW w:w="1349" w:type="dxa"/>
          </w:tcPr>
          <w:p w:rsidR="00D43145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10804,0</w:t>
            </w:r>
          </w:p>
        </w:tc>
        <w:tc>
          <w:tcPr>
            <w:tcW w:w="1643" w:type="dxa"/>
          </w:tcPr>
          <w:p w:rsidR="00D43145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D43145" w:rsidRDefault="00F452E7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37851,0</w:t>
            </w:r>
          </w:p>
        </w:tc>
        <w:tc>
          <w:tcPr>
            <w:tcW w:w="1613" w:type="dxa"/>
          </w:tcPr>
          <w:p w:rsidR="00D43145" w:rsidRDefault="00EC13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28,54</w:t>
            </w:r>
          </w:p>
        </w:tc>
      </w:tr>
      <w:tr w:rsidR="00D43145" w:rsidTr="00D43145">
        <w:tc>
          <w:tcPr>
            <w:tcW w:w="3011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субвенции</w:t>
            </w:r>
          </w:p>
        </w:tc>
        <w:tc>
          <w:tcPr>
            <w:tcW w:w="1349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247,0</w:t>
            </w:r>
          </w:p>
        </w:tc>
        <w:tc>
          <w:tcPr>
            <w:tcW w:w="1349" w:type="dxa"/>
          </w:tcPr>
          <w:p w:rsidR="00D43145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247,0</w:t>
            </w:r>
          </w:p>
        </w:tc>
        <w:tc>
          <w:tcPr>
            <w:tcW w:w="1643" w:type="dxa"/>
          </w:tcPr>
          <w:p w:rsidR="00D43145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D43145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234,0</w:t>
            </w:r>
          </w:p>
        </w:tc>
        <w:tc>
          <w:tcPr>
            <w:tcW w:w="1613" w:type="dxa"/>
          </w:tcPr>
          <w:p w:rsidR="00D43145" w:rsidRDefault="00EC13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105,56</w:t>
            </w:r>
          </w:p>
        </w:tc>
      </w:tr>
      <w:tr w:rsidR="009C7135" w:rsidTr="00D43145">
        <w:tc>
          <w:tcPr>
            <w:tcW w:w="3011" w:type="dxa"/>
          </w:tcPr>
          <w:p w:rsidR="009C713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9C713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100,0</w:t>
            </w:r>
          </w:p>
        </w:tc>
        <w:tc>
          <w:tcPr>
            <w:tcW w:w="1349" w:type="dxa"/>
          </w:tcPr>
          <w:p w:rsidR="009C713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100,0</w:t>
            </w:r>
          </w:p>
        </w:tc>
        <w:tc>
          <w:tcPr>
            <w:tcW w:w="1643" w:type="dxa"/>
          </w:tcPr>
          <w:p w:rsidR="009C713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9C713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200,0</w:t>
            </w:r>
          </w:p>
        </w:tc>
        <w:tc>
          <w:tcPr>
            <w:tcW w:w="1613" w:type="dxa"/>
          </w:tcPr>
          <w:p w:rsidR="009C7135" w:rsidRDefault="00EC13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</w:t>
            </w:r>
            <w:r w:rsidR="009C7135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</w:tr>
      <w:tr w:rsidR="008A3122" w:rsidTr="00D43145">
        <w:tc>
          <w:tcPr>
            <w:tcW w:w="3011" w:type="dxa"/>
          </w:tcPr>
          <w:p w:rsidR="008A3122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8A3122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33347,5</w:t>
            </w:r>
          </w:p>
        </w:tc>
        <w:tc>
          <w:tcPr>
            <w:tcW w:w="1349" w:type="dxa"/>
          </w:tcPr>
          <w:p w:rsidR="008A3122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33027,2</w:t>
            </w:r>
          </w:p>
        </w:tc>
        <w:tc>
          <w:tcPr>
            <w:tcW w:w="1643" w:type="dxa"/>
          </w:tcPr>
          <w:p w:rsidR="008A3122" w:rsidRDefault="001B763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99</w:t>
            </w:r>
          </w:p>
        </w:tc>
        <w:tc>
          <w:tcPr>
            <w:tcW w:w="1349" w:type="dxa"/>
          </w:tcPr>
          <w:p w:rsidR="008A3122" w:rsidRDefault="00F452E7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6881,3</w:t>
            </w:r>
          </w:p>
        </w:tc>
        <w:tc>
          <w:tcPr>
            <w:tcW w:w="1613" w:type="dxa"/>
          </w:tcPr>
          <w:p w:rsidR="008A3122" w:rsidRDefault="00EC13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479,95</w:t>
            </w:r>
          </w:p>
        </w:tc>
      </w:tr>
      <w:tr w:rsidR="008A3122" w:rsidTr="00D43145">
        <w:tc>
          <w:tcPr>
            <w:tcW w:w="3011" w:type="dxa"/>
          </w:tcPr>
          <w:p w:rsidR="008A3122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возврат прочих остатков</w:t>
            </w:r>
          </w:p>
        </w:tc>
        <w:tc>
          <w:tcPr>
            <w:tcW w:w="1349" w:type="dxa"/>
          </w:tcPr>
          <w:p w:rsidR="008A3122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-97,4</w:t>
            </w:r>
          </w:p>
        </w:tc>
        <w:tc>
          <w:tcPr>
            <w:tcW w:w="1349" w:type="dxa"/>
          </w:tcPr>
          <w:p w:rsidR="008A3122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-97,4</w:t>
            </w:r>
          </w:p>
        </w:tc>
        <w:tc>
          <w:tcPr>
            <w:tcW w:w="1643" w:type="dxa"/>
          </w:tcPr>
          <w:p w:rsidR="008A3122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8A3122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13" w:type="dxa"/>
          </w:tcPr>
          <w:p w:rsidR="008A3122" w:rsidRDefault="00EC13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bookmarkStart w:id="0" w:name="_GoBack"/>
      <w:bookmarkEnd w:id="0"/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Анализ исполнения за 2019 год в сравнении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с 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2018 годом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8503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635508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2018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2019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432FA4" w:rsidP="00432FA4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10084,4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F76CB7" w:rsidP="00EB7F41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10392,4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F76CB7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10323,8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F76C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99,3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A4608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102,37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B43FAC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432FA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224,3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246,3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246,3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A4608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109,81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432FA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840,3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869,1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869,1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A4608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103,43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432FA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5218,9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11164,0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10684,6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95,7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A4608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204,73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432FA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9788,2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7952,5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7871,3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98,98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A4608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80,42</w:t>
                                  </w:r>
                                </w:p>
                              </w:tc>
                            </w:tr>
                            <w:tr w:rsidR="00EB7F4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B7F41" w:rsidRPr="00AE707A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B7F41" w:rsidRPr="00B43FAC" w:rsidRDefault="00273A4D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199,9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B7F4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B7F41" w:rsidRPr="00B43FAC" w:rsidRDefault="00A4608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50,02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432FA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80442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7522E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A4608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010B77"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B7F4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B7F41" w:rsidRPr="00AE707A" w:rsidRDefault="00EB7F4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B7F41" w:rsidRPr="00B43FAC" w:rsidRDefault="00432FA4" w:rsidP="0075179D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24503,9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B7F41" w:rsidRPr="00B43FAC" w:rsidRDefault="00EB7F41" w:rsidP="00F76C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F76CB7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 952,4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F76CB7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24331,6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B7F41" w:rsidRPr="00B43FAC" w:rsidRDefault="00F76CB7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93,75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B7F41" w:rsidRPr="00B43FAC" w:rsidRDefault="00A46084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99,29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432FA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="0080442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F76C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F76C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A4608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91,67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432FA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134,0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F76C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153,7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F76C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153,7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F76C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010B77" w:rsidP="00A46084">
                                  <w:pPr>
                                    <w:ind w:right="-270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  114,</w:t>
                                  </w:r>
                                  <w:r w:rsidR="00A46084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432FA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51016,9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F76C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56852,5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F76C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54602,5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F76C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96,04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A4608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107,03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39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" fillcolor="#e6b9b8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2018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2019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432FA4" w:rsidP="00432FA4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10084,4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F76CB7" w:rsidP="00EB7F41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10392,4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F76CB7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10323,8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F76C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99,3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A4608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102,37</w:t>
                            </w:r>
                          </w:p>
                        </w:tc>
                      </w:tr>
                      <w:tr w:rsidR="00804421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B43FAC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432FA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224,3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246,3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246,3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A4608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109,81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432FA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840,3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869,1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869,1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A4608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103,43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432FA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5218,9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11164,0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10684,6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95,7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A4608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204,73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432FA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9788,2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7952,5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7871,3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98,98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A4608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80,42</w:t>
                            </w:r>
                          </w:p>
                        </w:tc>
                      </w:tr>
                      <w:tr w:rsidR="00EB7F4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EB7F41" w:rsidRPr="00AE707A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B7F41" w:rsidRPr="00B43FAC" w:rsidRDefault="00273A4D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199,9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B7F4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B7F41" w:rsidRPr="00B43FAC" w:rsidRDefault="00A4608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50,02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432FA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80442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7522E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A4608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010B77"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EB7F4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EB7F41" w:rsidRPr="00AE707A" w:rsidRDefault="00EB7F4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B7F41" w:rsidRPr="00B43FAC" w:rsidRDefault="00432FA4" w:rsidP="0075179D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24503,9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B7F41" w:rsidRPr="00B43FAC" w:rsidRDefault="00EB7F41" w:rsidP="00F76C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r w:rsidR="00F76CB7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 952,4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F76CB7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24331,6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B7F41" w:rsidRPr="00B43FAC" w:rsidRDefault="00F76CB7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93,75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B7F41" w:rsidRPr="00B43FAC" w:rsidRDefault="00A46084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99,29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432FA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="0080442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F76C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F76C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A4608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91,67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432FA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134,0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F76C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153,7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F76C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153,7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F76C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010B77" w:rsidP="00A46084">
                            <w:pPr>
                              <w:ind w:right="-270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 xml:space="preserve">   114,</w:t>
                            </w:r>
                            <w:r w:rsidR="00A46084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432FA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51016,9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F76C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56852,5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F76C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54602,5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F76C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96,04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A4608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107,03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913B8" w:rsidRPr="00B43FAC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201</w:t>
      </w:r>
      <w:r w:rsidR="00FA084E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8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A46084">
        <w:rPr>
          <w:rFonts w:ascii="Liberation Serif" w:hAnsi="Liberation Serif" w:cs="Times New Roman"/>
          <w:sz w:val="28"/>
          <w:szCs w:val="28"/>
        </w:rPr>
        <w:t>48,03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A46084">
        <w:rPr>
          <w:rFonts w:ascii="Liberation Serif" w:hAnsi="Liberation Serif" w:cs="Times New Roman"/>
          <w:sz w:val="28"/>
          <w:szCs w:val="28"/>
        </w:rPr>
        <w:t>19,77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жилищно-коммунальное хозяйство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A46084">
        <w:rPr>
          <w:rFonts w:ascii="Liberation Serif" w:hAnsi="Liberation Serif" w:cs="Times New Roman"/>
          <w:sz w:val="28"/>
          <w:szCs w:val="28"/>
        </w:rPr>
        <w:t>19,19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  национальная экономика </w:t>
      </w:r>
      <w:r w:rsidR="00A46084">
        <w:rPr>
          <w:rFonts w:ascii="Liberation Serif" w:hAnsi="Liberation Serif" w:cs="Times New Roman"/>
          <w:sz w:val="28"/>
          <w:szCs w:val="28"/>
        </w:rPr>
        <w:t>10,23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5859780" cy="5554980"/>
            <wp:effectExtent l="0" t="0" r="2667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B43FAC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>Структура исполнения расходов за 201</w:t>
      </w:r>
      <w:r>
        <w:rPr>
          <w:rFonts w:ascii="Liberation Serif" w:hAnsi="Liberation Serif" w:cs="Times New Roman"/>
          <w:b/>
          <w:i/>
          <w:color w:val="00B0F0"/>
          <w:sz w:val="40"/>
          <w:szCs w:val="40"/>
        </w:rPr>
        <w:t>9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3360FE">
        <w:rPr>
          <w:rFonts w:ascii="Liberation Serif" w:hAnsi="Liberation Serif" w:cs="Times New Roman"/>
          <w:sz w:val="28"/>
          <w:szCs w:val="28"/>
        </w:rPr>
        <w:t>46,56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3360FE">
        <w:rPr>
          <w:rFonts w:ascii="Liberation Serif" w:hAnsi="Liberation Serif" w:cs="Times New Roman"/>
          <w:sz w:val="28"/>
          <w:szCs w:val="28"/>
        </w:rPr>
        <w:t>18,91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жилищно-коммунальное хозяйство </w:t>
      </w:r>
      <w:r>
        <w:rPr>
          <w:rFonts w:ascii="Liberation Serif" w:hAnsi="Liberation Serif" w:cs="Times New Roman"/>
          <w:sz w:val="28"/>
          <w:szCs w:val="28"/>
        </w:rPr>
        <w:t>– 15,29%,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  национальная экономика </w:t>
      </w:r>
      <w:r w:rsidR="003360FE">
        <w:rPr>
          <w:rFonts w:ascii="Liberation Serif" w:hAnsi="Liberation Serif" w:cs="Times New Roman"/>
          <w:sz w:val="28"/>
          <w:szCs w:val="28"/>
        </w:rPr>
        <w:t>14,42</w:t>
      </w:r>
      <w:r>
        <w:rPr>
          <w:rFonts w:ascii="Liberation Serif" w:hAnsi="Liberation Serif" w:cs="Times New Roman"/>
          <w:sz w:val="28"/>
          <w:szCs w:val="28"/>
        </w:rPr>
        <w:t>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3810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13B8" w:rsidRPr="001E3675" w:rsidRDefault="003360FE" w:rsidP="00F057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1C53FEA5" wp14:editId="5D5CD0B6">
            <wp:extent cx="5074920" cy="28651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461010</wp:posOffset>
                </wp:positionV>
                <wp:extent cx="5516880" cy="4663440"/>
                <wp:effectExtent l="0" t="0" r="26670" b="381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6634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01.01.2018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сальдо на 01.04.2019 – 0,0 тыс. руб. 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01.07.2019 – 0,0 тыс. руб.</w:t>
                            </w:r>
                          </w:p>
                          <w:p w:rsidR="002B5277" w:rsidRDefault="002B527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01.10.2019 – 0,0 тыс. руб.</w:t>
                            </w:r>
                          </w:p>
                          <w:p w:rsidR="003360FE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360FE" w:rsidRPr="00A028F7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36.3pt;width:434.4pt;height:36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" adj="2700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01.01.2018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сальдо на 01.04.2019 – 0,0 тыс. руб. 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01.07.2019 – 0,0 тыс. руб.</w:t>
                      </w:r>
                    </w:p>
                    <w:p w:rsidR="002B5277" w:rsidRDefault="002B527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01.10.2019 – 0,0 тыс. руб.</w:t>
                      </w:r>
                    </w:p>
                    <w:p w:rsidR="003360FE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p w:rsidR="003360FE" w:rsidRPr="00A028F7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B501C"/>
    <w:rsid w:val="000B55B9"/>
    <w:rsid w:val="000B627A"/>
    <w:rsid w:val="000C24E1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5A60"/>
    <w:rsid w:val="00167E47"/>
    <w:rsid w:val="0017679F"/>
    <w:rsid w:val="00180113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D0920"/>
    <w:rsid w:val="001D1D92"/>
    <w:rsid w:val="001D4039"/>
    <w:rsid w:val="001E3675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8DC"/>
    <w:rsid w:val="00361EA6"/>
    <w:rsid w:val="003630AC"/>
    <w:rsid w:val="003668C9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5631"/>
    <w:rsid w:val="004325E0"/>
    <w:rsid w:val="00432FA4"/>
    <w:rsid w:val="0043377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5CF"/>
    <w:rsid w:val="007419E6"/>
    <w:rsid w:val="007420A8"/>
    <w:rsid w:val="007522E9"/>
    <w:rsid w:val="00754B47"/>
    <w:rsid w:val="007562AE"/>
    <w:rsid w:val="00756766"/>
    <w:rsid w:val="00762784"/>
    <w:rsid w:val="00781EF4"/>
    <w:rsid w:val="00784319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5168"/>
    <w:rsid w:val="009320B3"/>
    <w:rsid w:val="0095245E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5104E"/>
    <w:rsid w:val="00B51509"/>
    <w:rsid w:val="00B5623F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4553"/>
    <w:rsid w:val="00BF549D"/>
    <w:rsid w:val="00C0098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4AF0"/>
    <w:rsid w:val="00CD0471"/>
    <w:rsid w:val="00CE4529"/>
    <w:rsid w:val="00CE555D"/>
    <w:rsid w:val="00CE6688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6348"/>
    <w:rsid w:val="00D951F7"/>
    <w:rsid w:val="00D95C86"/>
    <w:rsid w:val="00DA17E4"/>
    <w:rsid w:val="00DA39C7"/>
    <w:rsid w:val="00DA523D"/>
    <w:rsid w:val="00DA59DE"/>
    <w:rsid w:val="00DA7898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51C0"/>
    <w:rsid w:val="00F25570"/>
    <w:rsid w:val="00F305B0"/>
    <w:rsid w:val="00F30D58"/>
    <w:rsid w:val="00F3178D"/>
    <w:rsid w:val="00F41D0B"/>
    <w:rsid w:val="00F44932"/>
    <w:rsid w:val="00F44E93"/>
    <w:rsid w:val="00F452E7"/>
    <w:rsid w:val="00F50D7C"/>
    <w:rsid w:val="00F577F1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79574568104361E-2"/>
          <c:y val="3.6714681498146065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52133.1</c:v>
                </c:pt>
                <c:pt idx="3">
                  <c:v>56027.3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51016.9</c:v>
                </c:pt>
                <c:pt idx="3">
                  <c:v>54602.5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63030784"/>
        <c:axId val="63032320"/>
        <c:axId val="63006464"/>
      </c:bar3DChart>
      <c:catAx>
        <c:axId val="630307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63032320"/>
        <c:crosses val="autoZero"/>
        <c:auto val="1"/>
        <c:lblAlgn val="ctr"/>
        <c:lblOffset val="100"/>
        <c:noMultiLvlLbl val="0"/>
      </c:catAx>
      <c:valAx>
        <c:axId val="6303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3030784"/>
        <c:crosses val="autoZero"/>
        <c:crossBetween val="between"/>
      </c:valAx>
      <c:serAx>
        <c:axId val="63006464"/>
        <c:scaling>
          <c:orientation val="minMax"/>
        </c:scaling>
        <c:delete val="1"/>
        <c:axPos val="b"/>
        <c:majorTickMark val="none"/>
        <c:minorTickMark val="none"/>
        <c:tickLblPos val="nextTo"/>
        <c:crossAx val="63032320"/>
        <c:crosses val="autoZero"/>
      </c:serAx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4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2019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70166229221347E-2"/>
          <c:y val="0.14781762959026215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3"/>
          <c:dLbls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07936507936507E-3"/>
                  <c:y val="-0.248503167787863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налог, взимаемый с налогоплательщиков, применяющих упрощенную систему налообложения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338</c:v>
                </c:pt>
                <c:pt idx="1">
                  <c:v>8167.2</c:v>
                </c:pt>
                <c:pt idx="2">
                  <c:v>354.9</c:v>
                </c:pt>
                <c:pt idx="3">
                  <c:v>880.2</c:v>
                </c:pt>
                <c:pt idx="4">
                  <c:v>1972.6</c:v>
                </c:pt>
                <c:pt idx="5">
                  <c:v>102.9</c:v>
                </c:pt>
                <c:pt idx="6">
                  <c:v>130.6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                        за 2019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49866637469847E-2"/>
          <c:y val="0.20389537900934504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  <c:pt idx="4">
                  <c:v>возврат прочих остатков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10804</c:v>
                </c:pt>
                <c:pt idx="1">
                  <c:v>247</c:v>
                </c:pt>
                <c:pt idx="2">
                  <c:v>100</c:v>
                </c:pt>
                <c:pt idx="3">
                  <c:v>33027.1</c:v>
                </c:pt>
                <c:pt idx="4">
                  <c:v>97.4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6878.1</c:v>
                </c:pt>
                <c:pt idx="1">
                  <c:v>88.7</c:v>
                </c:pt>
                <c:pt idx="2">
                  <c:v>45166.3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11712.9</c:v>
                </c:pt>
                <c:pt idx="1">
                  <c:v>233.6</c:v>
                </c:pt>
                <c:pt idx="2">
                  <c:v>44080.800000000003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7988608"/>
        <c:axId val="77990144"/>
        <c:axId val="0"/>
      </c:bar3DChart>
      <c:catAx>
        <c:axId val="7798860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77990144"/>
        <c:crosses val="autoZero"/>
        <c:auto val="1"/>
        <c:lblAlgn val="ctr"/>
        <c:lblOffset val="100"/>
        <c:noMultiLvlLbl val="0"/>
      </c:catAx>
      <c:valAx>
        <c:axId val="7799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7988608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14825636563502E-2"/>
          <c:y val="7.3464912280701761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6818990736665E-4"/>
                  <c:y val="-0.160921916010498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10084.4</c:v>
                </c:pt>
                <c:pt idx="1">
                  <c:v>224.3</c:v>
                </c:pt>
                <c:pt idx="2">
                  <c:v>840.3</c:v>
                </c:pt>
                <c:pt idx="3">
                  <c:v>5218.8999999999996</c:v>
                </c:pt>
                <c:pt idx="4">
                  <c:v>9788.2000000000007</c:v>
                </c:pt>
                <c:pt idx="5">
                  <c:v>199.9</c:v>
                </c:pt>
                <c:pt idx="6">
                  <c:v>11</c:v>
                </c:pt>
                <c:pt idx="7">
                  <c:v>24503.9</c:v>
                </c:pt>
                <c:pt idx="8">
                  <c:v>12</c:v>
                </c:pt>
                <c:pt idx="9">
                  <c:v>134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932955618508E-4"/>
                  <c:y val="-0.16530788092277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4655368432416389E-2"/>
                  <c:y val="4.82925818483215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10323.799999999999</c:v>
                </c:pt>
                <c:pt idx="1">
                  <c:v>246.3</c:v>
                </c:pt>
                <c:pt idx="2">
                  <c:v>869.1</c:v>
                </c:pt>
                <c:pt idx="3">
                  <c:v>10684.6</c:v>
                </c:pt>
                <c:pt idx="4">
                  <c:v>7871.3</c:v>
                </c:pt>
                <c:pt idx="5">
                  <c:v>100</c:v>
                </c:pt>
                <c:pt idx="6">
                  <c:v>11</c:v>
                </c:pt>
                <c:pt idx="7">
                  <c:v>24331.599999999999</c:v>
                </c:pt>
                <c:pt idx="8">
                  <c:v>11</c:v>
                </c:pt>
                <c:pt idx="9">
                  <c:v>153.69999999999999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10084.4</c:v>
                </c:pt>
                <c:pt idx="1">
                  <c:v>24503.9</c:v>
                </c:pt>
                <c:pt idx="2">
                  <c:v>9788.2000000000007</c:v>
                </c:pt>
                <c:pt idx="3">
                  <c:v>5218.8999999999996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10323.799999999999</c:v>
                </c:pt>
                <c:pt idx="1">
                  <c:v>24331.599999999999</c:v>
                </c:pt>
                <c:pt idx="2">
                  <c:v>7871.3</c:v>
                </c:pt>
                <c:pt idx="3">
                  <c:v>10684.6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8051968"/>
        <c:axId val="82755968"/>
      </c:barChart>
      <c:catAx>
        <c:axId val="78051968"/>
        <c:scaling>
          <c:orientation val="minMax"/>
        </c:scaling>
        <c:delete val="0"/>
        <c:axPos val="l"/>
        <c:majorTickMark val="none"/>
        <c:minorTickMark val="none"/>
        <c:tickLblPos val="nextTo"/>
        <c:crossAx val="82755968"/>
        <c:crosses val="autoZero"/>
        <c:auto val="1"/>
        <c:lblAlgn val="ctr"/>
        <c:lblOffset val="100"/>
        <c:noMultiLvlLbl val="0"/>
      </c:catAx>
      <c:valAx>
        <c:axId val="827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8051968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BDC6-4B39-446F-8AB7-F5EB0A89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33</cp:revision>
  <cp:lastPrinted>2019-10-28T07:35:00Z</cp:lastPrinted>
  <dcterms:created xsi:type="dcterms:W3CDTF">2019-10-25T11:36:00Z</dcterms:created>
  <dcterms:modified xsi:type="dcterms:W3CDTF">2020-01-21T09:29:00Z</dcterms:modified>
</cp:coreProperties>
</file>