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EF" w:rsidRDefault="0004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619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 xml:space="preserve">АДМИНИСТРАЦИЯ    УСТЬ – НИЦИНСКОГО </w:t>
      </w: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>СЕЛЬСКОГО ПОСЕЛЕНИЯ</w:t>
      </w:r>
    </w:p>
    <w:p w:rsidR="000440EF" w:rsidRDefault="000440E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</w:pP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zh-CN"/>
        </w:rPr>
        <w:t>ПОСТАНОВЛЕНИЕ</w:t>
      </w:r>
    </w:p>
    <w:p w:rsidR="000440EF" w:rsidRDefault="00C3673F">
      <w:pPr>
        <w:spacing w:after="0" w:line="240" w:lineRule="auto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double"/>
          <w:lang w:eastAsia="ru-RU"/>
        </w:rPr>
        <w:t>________________________________________________________________</w:t>
      </w:r>
      <w:r w:rsidR="002D23F3">
        <w:rPr>
          <w:rFonts w:ascii="Liberation Serif" w:eastAsia="Times New Roman" w:hAnsi="Liberation Serif" w:cs="Times New Roman"/>
          <w:sz w:val="28"/>
          <w:szCs w:val="28"/>
          <w:u w:val="double"/>
          <w:lang w:eastAsia="ru-RU"/>
        </w:rPr>
        <w:t>___</w:t>
      </w:r>
      <w:r>
        <w:rPr>
          <w:rFonts w:ascii="Liberation Serif" w:eastAsia="Times New Roman" w:hAnsi="Liberation Serif" w:cs="Times New Roman"/>
          <w:sz w:val="28"/>
          <w:szCs w:val="28"/>
          <w:u w:val="double"/>
          <w:lang w:eastAsia="ru-RU"/>
        </w:rPr>
        <w:t>__</w:t>
      </w:r>
    </w:p>
    <w:p w:rsidR="000440EF" w:rsidRDefault="00C3673F">
      <w:pPr>
        <w:spacing w:after="0" w:line="240" w:lineRule="auto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17.07.2024                                                                                      </w:t>
      </w:r>
      <w:r w:rsidR="002D23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№  171</w:t>
      </w: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с. Усть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Ницинское</w:t>
      </w: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0EF" w:rsidRDefault="000440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3F3" w:rsidRDefault="00C3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2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Усть-Ницинского сельс</w:t>
      </w:r>
      <w:r w:rsidRPr="002D2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кого поселения поселении </w:t>
      </w:r>
    </w:p>
    <w:p w:rsidR="000440EF" w:rsidRPr="002D23F3" w:rsidRDefault="00C3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2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</w:t>
      </w:r>
      <w:r w:rsidR="002D2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D23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год</w:t>
      </w:r>
    </w:p>
    <w:p w:rsidR="000440EF" w:rsidRDefault="00044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EF" w:rsidRDefault="00C36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Постановлением Правительства РФ от 25.06.2021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Усть-Ницин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proofErr w:type="gramEnd"/>
    </w:p>
    <w:p w:rsidR="000440EF" w:rsidRDefault="00044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0EF" w:rsidRPr="002D23F3" w:rsidRDefault="00C3673F" w:rsidP="002D2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0440EF" w:rsidRDefault="00C3673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Усть-Ниц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инского сельского поселения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440EF" w:rsidRDefault="00C3673F">
      <w:pPr>
        <w:pStyle w:val="a8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 сети Интернет.</w:t>
      </w:r>
    </w:p>
    <w:p w:rsidR="000440EF" w:rsidRDefault="00C3673F">
      <w:pPr>
        <w:pStyle w:val="a8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исполнению настоящего распоряжения оставляю за собой.</w:t>
      </w:r>
    </w:p>
    <w:p w:rsidR="000440EF" w:rsidRDefault="0004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EF" w:rsidRDefault="0004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EF" w:rsidRDefault="00C3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Усть-Ницинского </w:t>
      </w:r>
    </w:p>
    <w:p w:rsidR="000440EF" w:rsidRDefault="00C3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А.С. Лукин</w:t>
      </w: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EF" w:rsidRPr="002D23F3" w:rsidRDefault="002D23F3" w:rsidP="002D2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440EF" w:rsidRDefault="002D2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Утверждена</w:t>
      </w:r>
    </w:p>
    <w:p w:rsidR="000440EF" w:rsidRDefault="00C36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</w:p>
    <w:p w:rsidR="000440EF" w:rsidRDefault="00C36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Усть-Ницинского сельского поселения </w:t>
      </w:r>
    </w:p>
    <w:p w:rsidR="000440EF" w:rsidRDefault="00C36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17.07.2024</w:t>
      </w:r>
      <w:r w:rsidR="002D2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2D2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171</w:t>
      </w: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EF" w:rsidRDefault="0004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EF" w:rsidRDefault="00C3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0440EF" w:rsidRDefault="00C3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дорожном хозяйстве в границах населенных пунктов Усть-Ницинского сельского поселения на 2024 год</w:t>
      </w:r>
    </w:p>
    <w:p w:rsidR="000440EF" w:rsidRDefault="000440EF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0440EF" w:rsidRDefault="00C367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1. Общие положения</w:t>
      </w:r>
    </w:p>
    <w:p w:rsidR="000440EF" w:rsidRDefault="000440E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092"/>
        <w:gridCol w:w="7762"/>
      </w:tblGrid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автомобильном транспорте и в дорожном хозяйстве в границах населенных пунктов Усть-Ницинского сельского поселения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Ожидаемые результаты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прозрачности деятельности контрольного (надзорного) органа;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Уменьшение административной нагрузки на контролируемых лиц;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уровня правовой грамотности контролируемых лиц;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601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контролируемыми лицами;</w:t>
            </w:r>
          </w:p>
          <w:p w:rsidR="000440EF" w:rsidRDefault="00C367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601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Мотивация контролируемых лиц к добросовестному поведению.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Правовые основания разработки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Федеральный закон от 31.07.2020 № 248-ФЗ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«О государственном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(надзоре) и муниципальном контроле в Российской Федерации»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Усть-Ницинского сельского поселения Слободо-Туринского муниципального района Свердловской области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-79" w:firstLine="34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Стимулирование доб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росовестного соблюдения обязательных требований контролируемыми лицами;</w:t>
            </w:r>
          </w:p>
          <w:p w:rsidR="000440EF" w:rsidRDefault="00C3673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-79" w:firstLine="141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440EF" w:rsidRDefault="00C3673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276"/>
              </w:tabs>
              <w:spacing w:after="0" w:line="240" w:lineRule="auto"/>
              <w:ind w:left="0" w:firstLine="96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</w:t>
            </w: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жения рисков их возникновения;</w:t>
            </w:r>
          </w:p>
          <w:p w:rsidR="000440EF" w:rsidRDefault="00C3673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0440EF" w:rsidRDefault="00C3673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формирование единого п</w:t>
            </w: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онимания обязательных требований у всех участников контрольной деятельности;</w:t>
            </w:r>
          </w:p>
          <w:p w:rsidR="000440EF" w:rsidRDefault="00C3673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10101"/>
                <w:sz w:val="24"/>
                <w:szCs w:val="24"/>
                <w:lang w:eastAsia="ru-RU"/>
              </w:rPr>
              <w:t>повышение прозрачности осуществляемой администрацией контрольной деятельности;</w:t>
            </w:r>
          </w:p>
          <w:p w:rsidR="000440EF" w:rsidRDefault="00C3673F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10101"/>
                <w:sz w:val="24"/>
                <w:szCs w:val="24"/>
              </w:rPr>
              <w:lastRenderedPageBreak/>
              <w:t xml:space="preserve">повышение уровня правовой грамотности подконтрольных субъектов, в том числе путем обеспечения </w:t>
            </w:r>
            <w:r>
              <w:rPr>
                <w:rFonts w:ascii="Liberation Serif" w:eastAsia="Calibri" w:hAnsi="Liberation Serif" w:cs="Liberation Serif"/>
                <w:color w:val="010101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</w:t>
            </w:r>
          </w:p>
        </w:tc>
      </w:tr>
      <w:tr w:rsidR="000440EF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C367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0EF" w:rsidRDefault="002D23F3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</w:t>
            </w:r>
            <w:r w:rsidR="00C3673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C3673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0440E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Раздел 2. </w:t>
      </w:r>
      <w:r>
        <w:rPr>
          <w:rFonts w:ascii="Liberation Serif" w:eastAsia="Calibri" w:hAnsi="Liberation Serif" w:cs="Liberation Serif"/>
          <w:b/>
          <w:sz w:val="24"/>
          <w:szCs w:val="24"/>
        </w:rPr>
        <w:t>Анализ и оценка состояния подконтрольной сферы</w:t>
      </w:r>
    </w:p>
    <w:p w:rsidR="000440EF" w:rsidRDefault="000440E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0440EF" w:rsidRDefault="00C3673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территории Усть-Ницинского сельского поселения осуществляется Администрацией Усть-Ницинского сельского поселения Слободо-Туринского муниципального района Свердловской области (далее – Администрация).</w:t>
      </w:r>
    </w:p>
    <w:p w:rsidR="000440EF" w:rsidRDefault="00C3673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Под муниципальным контролем понимается деятельность адми</w:t>
      </w:r>
      <w:r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>нистрации Усть-Ницинского сельского поселения, направленная на предупреждение, выявление и пресечение нарушений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обязательных требований на автомобильном транспорте и в дорожном хозяйстве (далее – обязательных требований), осуществляемая в рамках полномочий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Усть-Ницинского сельского поселения по решению вопросов местного значения посредством профилактики нарушений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обязательных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конодательством Российской Федерации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440EF" w:rsidRDefault="00C3673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 </w:t>
      </w:r>
    </w:p>
    <w:p w:rsidR="000440EF" w:rsidRDefault="00C3673F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жизнь и здоровье граждан;</w:t>
      </w:r>
    </w:p>
    <w:p w:rsidR="000440EF" w:rsidRDefault="00C3673F">
      <w:pPr>
        <w:widowControl w:val="0"/>
        <w:numPr>
          <w:ilvl w:val="0"/>
          <w:numId w:val="8"/>
        </w:numPr>
        <w:tabs>
          <w:tab w:val="left" w:pos="720"/>
          <w:tab w:val="left" w:pos="1134"/>
        </w:tabs>
        <w:spacing w:after="0" w:line="240" w:lineRule="auto"/>
        <w:ind w:hanging="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 xml:space="preserve">права, свободы и законные интересы граждан и </w:t>
      </w: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организаций;</w:t>
      </w:r>
    </w:p>
    <w:p w:rsidR="000440EF" w:rsidRDefault="00C3673F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highlight w:val="white"/>
          <w:lang w:eastAsia="ru-RU"/>
        </w:rPr>
        <w:t>объекты транспортной инфраструктуры, как технические сооружения и имущественные комплексы;</w:t>
      </w:r>
    </w:p>
    <w:p w:rsidR="000440EF" w:rsidRDefault="00C3673F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Arial"/>
          <w:color w:val="000000"/>
          <w:highlight w:val="white"/>
        </w:rPr>
        <w:t>перевозка грузов и пассажиров, как обеспечение услуг и экономическая деятельность.</w:t>
      </w:r>
    </w:p>
    <w:p w:rsidR="000440EF" w:rsidRDefault="00C3673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hanging="21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Объектами муниципального контроля являются:</w:t>
      </w:r>
    </w:p>
    <w:p w:rsidR="000440EF" w:rsidRDefault="00C3673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деятельность, действия (б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0440EF" w:rsidRDefault="00C3673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деятельность, действия (бездействия) гра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>ждан и организаций, в рамках которых должны соблюдаться обязательные требования к осуществлению дорожной деятельности;</w:t>
      </w:r>
    </w:p>
    <w:p w:rsidR="000440EF" w:rsidRDefault="00C3673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требования, установленные в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зации регулярных перевозок;</w:t>
      </w:r>
    </w:p>
    <w:p w:rsidR="000440EF" w:rsidRDefault="00C3673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0440EF" w:rsidRDefault="00C3673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автомобильные дороги и дорожные сооружения на них, полосы отвода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ательные требования.</w:t>
      </w:r>
    </w:p>
    <w:p w:rsidR="000440EF" w:rsidRDefault="00C3673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нтролю.</w:t>
      </w:r>
    </w:p>
    <w:p w:rsidR="000440EF" w:rsidRDefault="00C3673F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lastRenderedPageBreak/>
        <w:t xml:space="preserve">мероприятий по муниципальному контролю на автомобильном транспорте и в дорожном хозяйстве в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границах населенных пунктов Усть-Ницинского сельского поселения:</w:t>
      </w:r>
    </w:p>
    <w:p w:rsidR="000440EF" w:rsidRDefault="00C3673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Федеральный закон от 08.11.2007 № 257-ФЗ «Об автомобильных дорогах </w:t>
      </w:r>
      <w:proofErr w:type="gram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и</w:t>
      </w:r>
      <w:proofErr w:type="gram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и»;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Федеральный закон от 13.07.2015 № 220-ФЗ «Об организации регулярных перевозок пассажиров и багажа автомобильным транспортом    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   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ГОСТ </w:t>
      </w:r>
      <w:proofErr w:type="gram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Р</w:t>
      </w:r>
      <w:proofErr w:type="gram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50597-2017 «Национальный стандарт Российской Федерации. Дороги автомобильные и улицы. Требовани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я к эксплуатационному состоянию, допустимому по условиям обеспечения безопасности дорожного движения. Методы контроля»;</w:t>
      </w:r>
    </w:p>
    <w:p w:rsidR="000440EF" w:rsidRDefault="00C3673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ГОСТ </w:t>
      </w:r>
      <w:proofErr w:type="gramStart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Р</w:t>
      </w:r>
      <w:proofErr w:type="gramEnd"/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58862-2020 «Дороги автомобильные общего пользования. Содержание. Периодичность проведения»;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33220-2015 «Дороги автомобильные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общего пользования. Требования к эксплуатационному состоянию»;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33180 «Дороги автомобильные общего пользования. Требования к уровню летнего содержания»;</w:t>
      </w:r>
    </w:p>
    <w:p w:rsidR="000440EF" w:rsidRDefault="00C3673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ГОСТ 33181 «Дороги автомобильные общего пользования. Требования к уровню зимнего содержания».</w:t>
      </w:r>
    </w:p>
    <w:p w:rsidR="000440EF" w:rsidRDefault="00C3673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нистрацией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</w:t>
      </w:r>
    </w:p>
    <w:p w:rsidR="000440EF" w:rsidRDefault="00C3673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В 2023 году в целях профилактики нарушений обязат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ельных требований на официальном сайте Усть-Ницинского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положения о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</w:t>
      </w:r>
      <w:r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ований, на официальном сайте Усть-Ницинского сельского поселения в информационно-телекоммуникационной сети «Интернет».</w:t>
      </w:r>
    </w:p>
    <w:p w:rsidR="000440EF" w:rsidRPr="00C3673F" w:rsidRDefault="00C3673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C3673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Ежегодным планом проведения плановых проверок юридических лиц и индивидуальных предпринимателей на 2023 год проведение проверок в рамках </w:t>
      </w:r>
      <w:r w:rsidRPr="00C3673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Pr="00C3673F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 xml:space="preserve">на </w:t>
      </w:r>
      <w:r w:rsidRPr="00C3673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автомобильном транспорте и в дорожном хозяйстве в границах населенных пунктов Усть-Ницинского сельского поселения запланировано не было. </w:t>
      </w:r>
    </w:p>
    <w:p w:rsidR="000440EF" w:rsidRDefault="000440E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</w:p>
    <w:p w:rsidR="000440EF" w:rsidRDefault="000440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0440E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Раздел 3. Перечень профилактических мероприятий, </w:t>
      </w:r>
    </w:p>
    <w:p w:rsidR="000440E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  <w:t>сроки (периодичность) их проведения</w:t>
      </w:r>
    </w:p>
    <w:p w:rsidR="000440EF" w:rsidRDefault="000440E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0440EF" w:rsidRDefault="00C3673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Профилактич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еские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приведены в Плане мероприятий по профилактике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нарушений на автомобильном транспорте и в дорожном хозяйстве в границах населенных пунктов Усть-Ницинского сельского поселения в приложении № 1 к настоящей программе.</w:t>
      </w:r>
    </w:p>
    <w:p w:rsidR="000440EF" w:rsidRDefault="000440EF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0440E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Раздел 4. Показатели результативности и эффективности</w:t>
      </w:r>
    </w:p>
    <w:p w:rsidR="000440EF" w:rsidRDefault="00C3673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lastRenderedPageBreak/>
        <w:t xml:space="preserve">программы профилактики </w:t>
      </w:r>
    </w:p>
    <w:p w:rsidR="000440EF" w:rsidRDefault="000440EF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0440EF" w:rsidRDefault="00C3673F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жилищного контроля.</w:t>
      </w:r>
    </w:p>
    <w:p w:rsidR="000440EF" w:rsidRDefault="00C3673F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В систему показателей результативности и эффективности деятельности, указанну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ю в настоящем Положении, входят:</w:t>
      </w:r>
    </w:p>
    <w:p w:rsidR="000440EF" w:rsidRDefault="00C3673F">
      <w:pPr>
        <w:numPr>
          <w:ilvl w:val="0"/>
          <w:numId w:val="6"/>
        </w:numPr>
        <w:tabs>
          <w:tab w:val="left" w:pos="118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ключевые показатели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муниципального жилищного контроля;</w:t>
      </w:r>
    </w:p>
    <w:p w:rsidR="000440EF" w:rsidRDefault="00C3673F">
      <w:pPr>
        <w:numPr>
          <w:ilvl w:val="0"/>
          <w:numId w:val="6"/>
        </w:numPr>
        <w:tabs>
          <w:tab w:val="left" w:pos="118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индикативные показатели муниципального жилищного контроля.</w:t>
      </w:r>
    </w:p>
    <w:p w:rsidR="000440EF" w:rsidRDefault="00C367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  <w:sectPr w:rsidR="000440EF"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Ключевые показатели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жилищного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контроля и их целевые значения, индикати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вные показатели муниципального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жилищного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контроля </w:t>
      </w:r>
      <w:r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утверждаются решением Думы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Усть-Ницинского сельского поселения   </w:t>
      </w:r>
    </w:p>
    <w:p w:rsidR="000440EF" w:rsidRPr="00C3673F" w:rsidRDefault="00C3673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C3673F">
        <w:rPr>
          <w:rFonts w:ascii="Liberation Serif" w:eastAsia="Calibri" w:hAnsi="Liberation Serif" w:cs="Times New Roman"/>
          <w:b/>
          <w:sz w:val="24"/>
          <w:szCs w:val="24"/>
        </w:rPr>
        <w:lastRenderedPageBreak/>
        <w:t>План мероприятий по профилактике нарушений законодательства</w:t>
      </w:r>
    </w:p>
    <w:p w:rsidR="000440EF" w:rsidRPr="00C3673F" w:rsidRDefault="00C3673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C3673F">
        <w:rPr>
          <w:rFonts w:ascii="Liberation Serif" w:eastAsia="Calibri" w:hAnsi="Liberation Serif" w:cs="Times New Roman"/>
          <w:b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Pr="00C3673F">
        <w:rPr>
          <w:rFonts w:ascii="Liberation Serif" w:eastAsia="Calibri" w:hAnsi="Liberation Serif" w:cs="Times New Roman"/>
          <w:b/>
          <w:sz w:val="24"/>
          <w:szCs w:val="24"/>
        </w:rPr>
        <w:t xml:space="preserve"> Усть-Ницинского сельского поселения на 2024 год</w:t>
      </w:r>
    </w:p>
    <w:p w:rsidR="000440EF" w:rsidRDefault="000440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10217" w:type="dxa"/>
        <w:tblInd w:w="-4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3686"/>
        <w:gridCol w:w="10"/>
        <w:gridCol w:w="1975"/>
        <w:gridCol w:w="10"/>
        <w:gridCol w:w="1954"/>
        <w:gridCol w:w="30"/>
      </w:tblGrid>
      <w:tr w:rsidR="000440EF" w:rsidTr="00C3673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0440E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</w:p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" w:type="dxa"/>
          </w:tcPr>
          <w:p w:rsidR="000440EF" w:rsidRDefault="000440EF">
            <w:pPr>
              <w:widowControl w:val="0"/>
            </w:pPr>
          </w:p>
        </w:tc>
      </w:tr>
      <w:tr w:rsidR="000440EF" w:rsidTr="00C3673F">
        <w:trPr>
          <w:trHeight w:val="26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Администрацией осуществляется информирование контролируемых лиц и иных заинтересованных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лиц по вопросам соблюдения обязательных требований.</w:t>
            </w:r>
          </w:p>
          <w:p w:rsidR="000440EF" w:rsidRDefault="00C3673F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440EF" w:rsidRDefault="00C3673F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Контрольный орган обязан </w:t>
            </w: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размещать и поддерживать</w:t>
            </w:r>
            <w:proofErr w:type="gram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Усть-Ницинского сельского поселения в информационно-телекоммуникационной сети Интернет: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ствление, муниципального контроля, о сроках и порядке их вступления в силу;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формацию о мерах ответственности, применяемых при нарушении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требований, с текстами в действующей редакции;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-15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руководства по соблюдению обязательных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требований;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-10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</w:tabs>
              <w:spacing w:after="0" w:line="240" w:lineRule="auto"/>
              <w:ind w:left="143" w:right="141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перечень объектов контроля, учитываемых в рамках формирования ежегодного плана контрольных мероприятий, с указанием категории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риска;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исчерпывающий перечень сведений, которые могут запрашиваться контрольным органом у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контролируемого лица;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сведения о применении контрольным (надзорным) органом мер стимулирования добросовестности контролируемых лиц;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сведения о порядке досудебного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обжалования решений контрольного (надзорного) органа, действий (бездействия) его должностных лиц;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доклады о муниципальном контроле;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информацию о способа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х и процедуре 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подготовке декларации соблюдения обязательных требований, и информацию о декларациях соблюдения обязательных требований, представленных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контролируемыми лицами;</w:t>
            </w:r>
          </w:p>
          <w:p w:rsidR="000440EF" w:rsidRDefault="00C3673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43"/>
                <w:tab w:val="left" w:pos="993"/>
              </w:tabs>
              <w:spacing w:after="0" w:line="240" w:lineRule="auto"/>
              <w:ind w:left="143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а.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</w:t>
            </w: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 должностным обязанностям которого относится осуществление муниципального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Усть-Ницинского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40EF" w:rsidTr="00C3673F">
        <w:trPr>
          <w:trHeight w:val="39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42" w:firstLine="142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 xml:space="preserve">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и предлагает принять меры по обеспечению соблюдения обязательных требований.</w:t>
            </w:r>
            <w:proofErr w:type="gramEnd"/>
          </w:p>
          <w:p w:rsidR="000440EF" w:rsidRDefault="00C3673F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едставления контролируемым лицом сведений и документов.</w:t>
            </w:r>
            <w:proofErr w:type="gramEnd"/>
          </w:p>
          <w:p w:rsidR="000440EF" w:rsidRDefault="00C3673F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предостережения подать в контрольный орган возражение в отношении указанного предостережения.</w:t>
            </w:r>
          </w:p>
          <w:p w:rsidR="000440EF" w:rsidRDefault="00C3673F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Возражение в отношении предостережения рассматривается уполномо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ченным органом в течение 20 дней со дня получения такого возражения. По результатам рассмотрения возражения в отношении предостережения контролируемому лицу направляется ответ.</w:t>
            </w:r>
          </w:p>
          <w:p w:rsidR="000440EF" w:rsidRDefault="00C3673F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Контрольный орган </w:t>
            </w: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осуществляет учет объявленных им предостережений о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недопустимости нарушения обязательных требований и использует</w:t>
            </w:r>
            <w:proofErr w:type="gram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Усть-Ницинского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40EF" w:rsidTr="00C3673F">
        <w:trPr>
          <w:trHeight w:val="42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1" w:firstLine="2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Должностное лицо администрации, уполномоченное на осуществление муниципального контроля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 осуществляет</w:t>
            </w:r>
            <w:proofErr w:type="gram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440EF" w:rsidRDefault="00C3673F">
            <w:pPr>
              <w:widowControl w:val="0"/>
              <w:spacing w:after="0" w:line="240" w:lineRule="auto"/>
              <w:ind w:left="141" w:firstLine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Консультирование по об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ращениям контролируемых лиц и их представителей осуществляется инспектором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0440EF" w:rsidRDefault="00C3673F">
            <w:pPr>
              <w:widowControl w:val="0"/>
              <w:shd w:val="clear" w:color="auto" w:fill="FFFFFF"/>
              <w:tabs>
                <w:tab w:val="left" w:pos="841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Консультирование в устной форме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0440EF" w:rsidRDefault="00C3673F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местонахождение, контактные телефоны, адрес официального сайта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Сладковского с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ельского поселения в информационно-телекоммуникационной сети «Интернет» и адреса электронной почты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0440EF" w:rsidRDefault="00C3673F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график работы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0440EF" w:rsidRDefault="00C3673F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номера кабинетов, где проводятся прием и информирование посетителей п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о вопросам осуществления муниципального контроля, а также фамилии, имена, отчества (при наличии)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инспекторов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, осуществляющих прием и информирование;</w:t>
            </w:r>
          </w:p>
          <w:p w:rsidR="000440EF" w:rsidRDefault="00C3673F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перечень нормативных правовых актов, регулирующих осуществление муниципального контроля;</w:t>
            </w:r>
          </w:p>
          <w:p w:rsidR="000440EF" w:rsidRDefault="00C3673F">
            <w:pPr>
              <w:widowControl w:val="0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перечень актов,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содержащих обязательные требования.</w:t>
            </w:r>
          </w:p>
          <w:p w:rsidR="000440EF" w:rsidRDefault="00C3673F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1" w:firstLine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      </w:r>
          </w:p>
          <w:p w:rsidR="000440EF" w:rsidRDefault="00C3673F">
            <w:pPr>
              <w:widowControl w:val="0"/>
              <w:spacing w:after="0" w:line="240" w:lineRule="auto"/>
              <w:ind w:left="141" w:firstLine="2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Контролируемое лицо вправе направить в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уполномоченны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й орган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запрос о предоставлении письменного ответа об организации и осуществлении муниципального контроля, в порядке и в сроки, установленные Федеральным </w:t>
            </w:r>
            <w:hyperlink r:id="rId7" w:anchor="_blank" w:history="1">
              <w:r>
                <w:rPr>
                  <w:rFonts w:ascii="Liberation Serif" w:eastAsia="Times New Roman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от 02.05.2006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№ 59-ФЗ «О порядке рассмотрения обращений граждан Российской Федерации».</w:t>
            </w:r>
          </w:p>
          <w:p w:rsidR="000440EF" w:rsidRDefault="00C3673F">
            <w:pPr>
              <w:widowControl w:val="0"/>
              <w:tabs>
                <w:tab w:val="left" w:pos="573"/>
                <w:tab w:val="left" w:pos="1276"/>
              </w:tabs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в письменной форме, в соответствии запросом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контролируемого лица о предоставлении информации об организации и осуществлении муниципального контроля, осуществляется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по следующим вопросам:</w:t>
            </w:r>
          </w:p>
          <w:p w:rsidR="000440EF" w:rsidRDefault="00C3673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hanging="1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0440EF" w:rsidRDefault="00C3673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основание назначения 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контрольного мероприятия, предусмотренного пунктом 35 насто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ящего Положения, в случае назначения такого контрольного мероприятия в отношении объекта контроля, принадлежащего обратившемуся контролируемому лицу или используемого таким контролируемым лицом;</w:t>
            </w:r>
          </w:p>
          <w:p w:rsidR="000440EF" w:rsidRDefault="00C3673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73"/>
                <w:tab w:val="left" w:pos="1276"/>
              </w:tabs>
              <w:spacing w:after="0" w:line="240" w:lineRule="auto"/>
              <w:ind w:left="142" w:firstLine="142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основание объявления обратившемуся контролируемому лицу предо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стережения;</w:t>
            </w:r>
          </w:p>
          <w:p w:rsidR="000440EF" w:rsidRDefault="00C3673F">
            <w:pPr>
              <w:widowControl w:val="0"/>
              <w:tabs>
                <w:tab w:val="left" w:pos="573"/>
              </w:tabs>
              <w:spacing w:after="0" w:line="240" w:lineRule="auto"/>
              <w:ind w:left="14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28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осуществление муниципального контроля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автомобильном транспорте и в дорожном хозяйстве в границах населенных пунктов Усть-Ницинского сельского поселения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0EF" w:rsidRDefault="00C3673F">
            <w:pPr>
              <w:widowControl w:val="0"/>
              <w:spacing w:after="0" w:line="240" w:lineRule="auto"/>
              <w:ind w:left="163"/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440EF" w:rsidRDefault="000440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440EF" w:rsidRDefault="00044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sectPr w:rsidR="000440EF">
      <w:pgSz w:w="11906" w:h="16838"/>
      <w:pgMar w:top="567" w:right="851" w:bottom="567" w:left="1418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52"/>
    <w:multiLevelType w:val="multilevel"/>
    <w:tmpl w:val="CD06ECF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8CD4BCE"/>
    <w:multiLevelType w:val="multilevel"/>
    <w:tmpl w:val="A2C620B0"/>
    <w:lvl w:ilvl="0">
      <w:start w:val="1"/>
      <w:numFmt w:val="decimal"/>
      <w:lvlText w:val="%1."/>
      <w:lvlJc w:val="left"/>
      <w:pPr>
        <w:tabs>
          <w:tab w:val="num" w:pos="0"/>
        </w:tabs>
        <w:ind w:left="1338" w:hanging="6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1BFB27D3"/>
    <w:multiLevelType w:val="multilevel"/>
    <w:tmpl w:val="11E4C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09B1371"/>
    <w:multiLevelType w:val="multilevel"/>
    <w:tmpl w:val="EF18F2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5CB1A7D"/>
    <w:multiLevelType w:val="multilevel"/>
    <w:tmpl w:val="D492A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DC2A24"/>
    <w:multiLevelType w:val="multilevel"/>
    <w:tmpl w:val="B2B41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8FD1A2E"/>
    <w:multiLevelType w:val="multilevel"/>
    <w:tmpl w:val="F3C0B45C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C9F78DF"/>
    <w:multiLevelType w:val="multilevel"/>
    <w:tmpl w:val="B140838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>
    <w:nsid w:val="2ECA2D8D"/>
    <w:multiLevelType w:val="multilevel"/>
    <w:tmpl w:val="79E6E6B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B303A8"/>
    <w:multiLevelType w:val="multilevel"/>
    <w:tmpl w:val="DFC88B7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50255D3D"/>
    <w:multiLevelType w:val="multilevel"/>
    <w:tmpl w:val="764CC82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1D51DD4"/>
    <w:multiLevelType w:val="multilevel"/>
    <w:tmpl w:val="F1E812F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64321C9C"/>
    <w:multiLevelType w:val="multilevel"/>
    <w:tmpl w:val="9A80C3C8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44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6793328F"/>
    <w:multiLevelType w:val="multilevel"/>
    <w:tmpl w:val="A0660DF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">
    <w:nsid w:val="70E54CB6"/>
    <w:multiLevelType w:val="multilevel"/>
    <w:tmpl w:val="6074B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EF"/>
    <w:rsid w:val="000440EF"/>
    <w:rsid w:val="002D23F3"/>
    <w:rsid w:val="00C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52E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52E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48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0</cp:lastModifiedBy>
  <cp:revision>6</cp:revision>
  <dcterms:created xsi:type="dcterms:W3CDTF">2021-10-11T07:23:00Z</dcterms:created>
  <dcterms:modified xsi:type="dcterms:W3CDTF">2024-08-13T05:12:00Z</dcterms:modified>
  <dc:language>ru-RU</dc:language>
</cp:coreProperties>
</file>