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413F" w14:textId="77777777" w:rsidR="001C2A3C" w:rsidRDefault="001C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1F07A5" w14:textId="77777777" w:rsidR="001C2A3C" w:rsidRDefault="0000000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45656C88" wp14:editId="5F0174C5">
            <wp:extent cx="5619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52526" w14:textId="77777777" w:rsidR="001C2A3C" w:rsidRDefault="00000000">
      <w:pPr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  <w:t xml:space="preserve">АДМИНИСТРАЦИЯ    УСТЬ – НИЦИНСКОГО </w:t>
      </w:r>
    </w:p>
    <w:p w14:paraId="241F0556" w14:textId="77777777" w:rsidR="001C2A3C" w:rsidRDefault="00000000">
      <w:pPr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  <w:t>СЕЛЬСКОГО ПОСЕЛЕНИЯ</w:t>
      </w:r>
    </w:p>
    <w:p w14:paraId="551C889C" w14:textId="77777777" w:rsidR="001C2A3C" w:rsidRDefault="001C2A3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</w:pPr>
    </w:p>
    <w:p w14:paraId="42B1B6BE" w14:textId="77777777" w:rsidR="001C2A3C" w:rsidRDefault="00000000">
      <w:pPr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  <w:t>ПОСТАНОВЛЕНИЕ</w:t>
      </w:r>
    </w:p>
    <w:p w14:paraId="36BC6A58" w14:textId="77777777" w:rsidR="001C2A3C" w:rsidRDefault="00000000">
      <w:pPr>
        <w:spacing w:after="0" w:line="240" w:lineRule="auto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double"/>
          <w:lang w:eastAsia="ru-RU"/>
        </w:rPr>
        <w:t>__________________________________________________________________</w:t>
      </w:r>
    </w:p>
    <w:p w14:paraId="75488B35" w14:textId="77777777" w:rsidR="001C2A3C" w:rsidRDefault="001C2A3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double"/>
          <w:lang w:eastAsia="ru-RU"/>
        </w:rPr>
      </w:pPr>
    </w:p>
    <w:p w14:paraId="7B1156E7" w14:textId="77777777" w:rsidR="001C2A3C" w:rsidRDefault="00000000">
      <w:pPr>
        <w:spacing w:after="0" w:line="240" w:lineRule="auto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17.07.2024                                                                                         №  171</w:t>
      </w:r>
    </w:p>
    <w:p w14:paraId="633FD66D" w14:textId="77777777" w:rsidR="001C2A3C" w:rsidRDefault="00000000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Усть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Ницинское</w:t>
      </w:r>
      <w:proofErr w:type="spellEnd"/>
    </w:p>
    <w:p w14:paraId="2311ECD7" w14:textId="77777777" w:rsidR="001C2A3C" w:rsidRDefault="001C2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905AAF" w14:textId="77777777" w:rsidR="001C2A3C" w:rsidRDefault="001C2A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F3DD2B" w14:textId="77777777" w:rsidR="001C2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поселении на 2024год</w:t>
      </w:r>
    </w:p>
    <w:p w14:paraId="29789343" w14:textId="77777777" w:rsidR="001C2A3C" w:rsidRDefault="001C2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6469D" w14:textId="77777777" w:rsidR="001C2A3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 N 248-ФЗ "О государственном контроле (надзоре) и муниципальном контроле в Российской Федерации", руководствуясь Постановлением Правительства РФ от 25.06.2021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18BF9D46" w14:textId="77777777" w:rsidR="001C2A3C" w:rsidRDefault="001C2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14EAA" w14:textId="77777777" w:rsidR="001C2A3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6F338721" w14:textId="77777777" w:rsidR="001C2A3C" w:rsidRDefault="0000000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14:paraId="26D3DFBF" w14:textId="77777777" w:rsidR="001C2A3C" w:rsidRDefault="00000000">
      <w:pPr>
        <w:pStyle w:val="a8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в «Информационном вестнике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Интернет.</w:t>
      </w:r>
    </w:p>
    <w:p w14:paraId="293B6573" w14:textId="77777777" w:rsidR="001C2A3C" w:rsidRDefault="00000000">
      <w:pPr>
        <w:pStyle w:val="a8"/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исполнению настоящего распоряжения оставляю за собой.</w:t>
      </w:r>
    </w:p>
    <w:p w14:paraId="66AFB60E" w14:textId="77777777" w:rsidR="001C2A3C" w:rsidRDefault="001C2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829A6" w14:textId="77777777" w:rsidR="001C2A3C" w:rsidRDefault="001C2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2BB17" w14:textId="77777777" w:rsidR="001C2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204FDF" w14:textId="77777777" w:rsidR="001C2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А.С. Лукин</w:t>
      </w:r>
    </w:p>
    <w:p w14:paraId="68A51B24" w14:textId="77777777" w:rsidR="001C2A3C" w:rsidRDefault="001C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F1B1B" w14:textId="77777777" w:rsidR="001C2A3C" w:rsidRDefault="001C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8FAB48" w14:textId="77777777" w:rsidR="001C2A3C" w:rsidRDefault="001C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AC625" w14:textId="77777777" w:rsidR="001C2A3C" w:rsidRDefault="001C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03CE0" w14:textId="77777777" w:rsidR="001C2A3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14:paraId="75AC497E" w14:textId="77777777" w:rsidR="001C2A3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</w:t>
      </w:r>
    </w:p>
    <w:p w14:paraId="6D8C6B2B" w14:textId="77777777" w:rsidR="001C2A3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14:paraId="3EF84F53" w14:textId="77777777" w:rsidR="001C2A3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___17.07.2024_____________ № __171__</w:t>
      </w:r>
    </w:p>
    <w:p w14:paraId="570802FC" w14:textId="77777777" w:rsidR="001C2A3C" w:rsidRDefault="001C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76399" w14:textId="77777777" w:rsidR="001C2A3C" w:rsidRDefault="001C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4CD8F" w14:textId="77777777" w:rsidR="001C2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14:paraId="3C2EACC8" w14:textId="77777777" w:rsidR="001C2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2024 год</w:t>
      </w:r>
    </w:p>
    <w:p w14:paraId="65A75995" w14:textId="77777777" w:rsidR="001C2A3C" w:rsidRDefault="001C2A3C">
      <w:pPr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14:paraId="60249CAB" w14:textId="77777777" w:rsidR="001C2A3C" w:rsidRDefault="0000000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Раздел 1. Общие положения</w:t>
      </w:r>
    </w:p>
    <w:p w14:paraId="779B2967" w14:textId="77777777" w:rsidR="001C2A3C" w:rsidRDefault="001C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092"/>
        <w:gridCol w:w="7762"/>
      </w:tblGrid>
      <w:tr w:rsidR="001C2A3C" w14:paraId="4B5592BB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5A18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FFFE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Усть-Ницинского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C2A3C" w14:paraId="1F115B7E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F982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C771" w14:textId="77777777" w:rsidR="001C2A3C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475A2460" w14:textId="77777777" w:rsidR="001C2A3C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14:paraId="6832470C" w14:textId="77777777" w:rsidR="001C2A3C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прозрачности деятельности контрольного (надзорного) органа;</w:t>
            </w:r>
          </w:p>
          <w:p w14:paraId="6BDC7ED5" w14:textId="77777777" w:rsidR="001C2A3C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Уменьшение административной нагрузки на контролируемых лиц;</w:t>
            </w:r>
          </w:p>
          <w:p w14:paraId="04FAABAA" w14:textId="77777777" w:rsidR="001C2A3C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лиц;</w:t>
            </w:r>
          </w:p>
          <w:p w14:paraId="1F985D05" w14:textId="77777777" w:rsidR="001C2A3C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601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контролируемыми лицами;</w:t>
            </w:r>
          </w:p>
          <w:p w14:paraId="33354E80" w14:textId="77777777" w:rsidR="001C2A3C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601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Мотивация контролируемых лиц к добросовестному поведению.</w:t>
            </w:r>
          </w:p>
        </w:tc>
      </w:tr>
      <w:tr w:rsidR="001C2A3C" w14:paraId="5B9923AB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C630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Правовые основания разработки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2256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1C2A3C" w14:paraId="6696B913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3C94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AAFE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Усть-Ницинского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сельского поселения Слободо-Туринского муниципального района Свердловской области</w:t>
            </w:r>
          </w:p>
        </w:tc>
      </w:tr>
      <w:tr w:rsidR="001C2A3C" w14:paraId="430FCEAB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EFD6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A7BB" w14:textId="77777777" w:rsidR="001C2A3C" w:rsidRDefault="00000000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276"/>
              </w:tabs>
              <w:spacing w:after="0" w:line="240" w:lineRule="auto"/>
              <w:ind w:left="-79" w:firstLine="34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контролируемыми лицами;</w:t>
            </w:r>
          </w:p>
          <w:p w14:paraId="000E7340" w14:textId="77777777" w:rsidR="001C2A3C" w:rsidRDefault="00000000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276"/>
              </w:tabs>
              <w:spacing w:after="0" w:line="240" w:lineRule="auto"/>
              <w:ind w:left="-79" w:firstLine="141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5680836" w14:textId="77777777" w:rsidR="001C2A3C" w:rsidRDefault="00000000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276"/>
              </w:tabs>
              <w:spacing w:after="0" w:line="240" w:lineRule="auto"/>
              <w:ind w:left="0" w:firstLine="96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A3C" w14:paraId="7DC7762F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4F6F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42F2" w14:textId="77777777" w:rsidR="001C2A3C" w:rsidRDefault="0000000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49F10DCA" w14:textId="77777777" w:rsidR="001C2A3C" w:rsidRDefault="0000000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14:paraId="3FAAC9FC" w14:textId="77777777" w:rsidR="001C2A3C" w:rsidRDefault="0000000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формирование единого понимания обязательных требований у всех участников контрольной деятельности;</w:t>
            </w:r>
          </w:p>
          <w:p w14:paraId="1613ACF4" w14:textId="77777777" w:rsidR="001C2A3C" w:rsidRDefault="0000000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повышение прозрачности осуществляемой администрацией контрольной деятельности;</w:t>
            </w:r>
          </w:p>
          <w:p w14:paraId="0BDECF68" w14:textId="77777777" w:rsidR="001C2A3C" w:rsidRDefault="00000000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10101"/>
                <w:sz w:val="24"/>
                <w:szCs w:val="24"/>
              </w:rPr>
              <w:lastRenderedPageBreak/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</w:p>
        </w:tc>
      </w:tr>
      <w:tr w:rsidR="001C2A3C" w14:paraId="1B69B857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EC1F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559F" w14:textId="77777777" w:rsidR="001C2A3C" w:rsidRDefault="00000000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 год</w:t>
            </w:r>
          </w:p>
        </w:tc>
      </w:tr>
    </w:tbl>
    <w:p w14:paraId="41D19395" w14:textId="77777777" w:rsidR="001C2A3C" w:rsidRDefault="00000000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Раздел 2. </w:t>
      </w:r>
      <w:r>
        <w:rPr>
          <w:rFonts w:ascii="Liberation Serif" w:eastAsia="Calibri" w:hAnsi="Liberation Serif" w:cs="Liberation Serif"/>
          <w:b/>
          <w:sz w:val="24"/>
          <w:szCs w:val="24"/>
        </w:rPr>
        <w:t>Анализ и оценка состояния подконтрольной сферы</w:t>
      </w:r>
    </w:p>
    <w:p w14:paraId="20179AE4" w14:textId="77777777" w:rsidR="001C2A3C" w:rsidRDefault="001C2A3C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14:paraId="449DD58D" w14:textId="77777777" w:rsidR="001C2A3C" w:rsidRDefault="0000000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сельского поселения осуществляется Администрацией </w:t>
      </w:r>
      <w:proofErr w:type="spell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сельского поселения Слободо-Туринского муниципального района Свердловской области (далее – Администрация).</w:t>
      </w:r>
    </w:p>
    <w:p w14:paraId="761648F4" w14:textId="77777777" w:rsidR="001C2A3C" w:rsidRDefault="0000000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Под муниципальным контролем понимается деятельность администрации </w:t>
      </w:r>
      <w:proofErr w:type="spellStart"/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 сельского поселения, направленная на предупреждение, выявление и пресечение нарушений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обязательных требований на автомобильном транспорте и в дорожном хозяйстве (далее – обязательных требований), осуществляемая в рамках полномочий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сельского поселения по решению вопросов местного значения посредством профилактики нарушений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обязательных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FF9A476" w14:textId="77777777" w:rsidR="001C2A3C" w:rsidRDefault="000000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 </w:t>
      </w:r>
    </w:p>
    <w:p w14:paraId="37272B65" w14:textId="77777777" w:rsidR="001C2A3C" w:rsidRDefault="0000000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highlight w:val="white"/>
          <w:lang w:eastAsia="ru-RU"/>
        </w:rPr>
        <w:t>жизнь и здоровье граждан;</w:t>
      </w:r>
    </w:p>
    <w:p w14:paraId="74B88413" w14:textId="77777777" w:rsidR="001C2A3C" w:rsidRDefault="00000000">
      <w:pPr>
        <w:widowControl w:val="0"/>
        <w:numPr>
          <w:ilvl w:val="0"/>
          <w:numId w:val="8"/>
        </w:numPr>
        <w:tabs>
          <w:tab w:val="left" w:pos="720"/>
          <w:tab w:val="left" w:pos="1134"/>
        </w:tabs>
        <w:spacing w:after="0" w:line="240" w:lineRule="auto"/>
        <w:ind w:hanging="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highlight w:val="white"/>
          <w:lang w:eastAsia="ru-RU"/>
        </w:rPr>
        <w:t>права, свободы и законные интересы граждан и организаций;</w:t>
      </w:r>
    </w:p>
    <w:p w14:paraId="65AFCA8E" w14:textId="77777777" w:rsidR="001C2A3C" w:rsidRDefault="0000000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highlight w:val="white"/>
          <w:lang w:eastAsia="ru-RU"/>
        </w:rPr>
        <w:t>объекты транспортной инфраструктуры, как технические сооружения и имущественные комплексы;</w:t>
      </w:r>
    </w:p>
    <w:p w14:paraId="23FA9AF4" w14:textId="77777777" w:rsidR="001C2A3C" w:rsidRDefault="0000000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Arial"/>
          <w:color w:val="000000"/>
          <w:highlight w:val="white"/>
        </w:rPr>
        <w:t>перевозка грузов и пассажиров, как обеспечение услуг и экономическая деятельность.</w:t>
      </w:r>
    </w:p>
    <w:p w14:paraId="601755A9" w14:textId="77777777" w:rsidR="001C2A3C" w:rsidRDefault="00000000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hanging="21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</w:rPr>
        <w:t>Объектами муниципального контроля являются:</w:t>
      </w:r>
    </w:p>
    <w:p w14:paraId="7A3E181F" w14:textId="77777777" w:rsidR="001C2A3C" w:rsidRDefault="000000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3B305466" w14:textId="77777777" w:rsidR="001C2A3C" w:rsidRDefault="000000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48229FB3" w14:textId="77777777" w:rsidR="001C2A3C" w:rsidRDefault="000000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3557D47" w14:textId="77777777" w:rsidR="001C2A3C" w:rsidRDefault="000000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31B3F22C" w14:textId="77777777" w:rsidR="001C2A3C" w:rsidRDefault="000000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5F5E52AE" w14:textId="77777777" w:rsidR="001C2A3C" w:rsidRDefault="0000000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4096CF1A" w14:textId="77777777" w:rsidR="001C2A3C" w:rsidRDefault="0000000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 и в дорожном хозяйстве в границах населенных пунктов </w:t>
      </w:r>
      <w:proofErr w:type="spell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сельского поселения:</w:t>
      </w:r>
    </w:p>
    <w:p w14:paraId="7493F5E1" w14:textId="77777777" w:rsidR="001C2A3C" w:rsidRDefault="0000000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lastRenderedPageBreak/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6B4CA5FB" w14:textId="77777777" w:rsidR="001C2A3C" w:rsidRDefault="0000000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14:paraId="76888817" w14:textId="77777777" w:rsidR="001C2A3C" w:rsidRDefault="0000000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Федеральный закон от 13.07.2015 № 220-ФЗ «Об организации регулярных перевозок пассажиров и багажа автомобильным транспортом        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6ED9C893" w14:textId="77777777" w:rsidR="001C2A3C" w:rsidRDefault="0000000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14:paraId="33F090BC" w14:textId="77777777" w:rsidR="001C2A3C" w:rsidRDefault="0000000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14:paraId="2EED5457" w14:textId="77777777" w:rsidR="001C2A3C" w:rsidRDefault="0000000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33220-2015 «Дороги автомобильные общего пользования. Требования к эксплуатационному состоянию»;</w:t>
      </w:r>
    </w:p>
    <w:p w14:paraId="61C9517D" w14:textId="77777777" w:rsidR="001C2A3C" w:rsidRDefault="0000000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33180 «Дороги автомобильные общего пользования. Требования к уровню летнего содержания»;</w:t>
      </w:r>
    </w:p>
    <w:p w14:paraId="034817FB" w14:textId="77777777" w:rsidR="001C2A3C" w:rsidRDefault="0000000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33181 «Дороги автомобильные общего пользования. Требования к уровню зимнего содержания».</w:t>
      </w:r>
    </w:p>
    <w:p w14:paraId="7FCCBD6A" w14:textId="77777777" w:rsidR="001C2A3C" w:rsidRDefault="0000000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 </w:t>
      </w:r>
    </w:p>
    <w:p w14:paraId="6C8B856B" w14:textId="77777777" w:rsidR="001C2A3C" w:rsidRDefault="0000000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В 2023 году в целях профилактики нарушений обязательных требований на официальном сайте </w:t>
      </w:r>
      <w:proofErr w:type="spell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положения обязательных требований,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</w:t>
      </w:r>
      <w:proofErr w:type="spell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3F8A38A8" w14:textId="77777777" w:rsidR="001C2A3C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Ежегодным планом проведения плановых проверок юридических лиц и индивидуальных предпринимателей на 2023 год проведение проверок в рамках муниципального </w:t>
      </w:r>
      <w:r>
        <w:rPr>
          <w:rFonts w:ascii="Liberation Serif" w:eastAsia="Calibri" w:hAnsi="Liberation Serif" w:cs="Times New Roman"/>
          <w:color w:val="FF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сельского поселения запланировано не было. </w:t>
      </w:r>
    </w:p>
    <w:p w14:paraId="34AC5654" w14:textId="77777777" w:rsidR="001C2A3C" w:rsidRDefault="001C2A3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</w:p>
    <w:p w14:paraId="5278B16D" w14:textId="77777777" w:rsidR="001C2A3C" w:rsidRDefault="001C2A3C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14:paraId="7B3B856D" w14:textId="77777777" w:rsidR="001C2A3C" w:rsidRDefault="00000000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Раздел 3. Перечень профилактических мероприятий, </w:t>
      </w:r>
    </w:p>
    <w:p w14:paraId="357A96D7" w14:textId="77777777" w:rsidR="001C2A3C" w:rsidRDefault="00000000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  <w:t>сроки (периодичность) их проведения</w:t>
      </w:r>
    </w:p>
    <w:p w14:paraId="3AF993D7" w14:textId="77777777" w:rsidR="001C2A3C" w:rsidRDefault="001C2A3C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13A981DD" w14:textId="77777777" w:rsidR="001C2A3C" w:rsidRDefault="0000000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Профилактические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приведены в Плане мероприятий по профилактике нарушений на автомобильном транспорте и в дорожном хозяйстве в границах населенных пунктов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сельского поселения в приложении № 1 к настоящей программе.</w:t>
      </w:r>
    </w:p>
    <w:p w14:paraId="68E7BE32" w14:textId="77777777" w:rsidR="001C2A3C" w:rsidRDefault="001C2A3C">
      <w:pPr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1D7865DF" w14:textId="77777777" w:rsidR="001C2A3C" w:rsidRDefault="00000000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Раздел 4. Показатели результативности и эффективности</w:t>
      </w:r>
    </w:p>
    <w:p w14:paraId="2EE8F075" w14:textId="77777777" w:rsidR="001C2A3C" w:rsidRDefault="00000000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 xml:space="preserve">программы профилактики </w:t>
      </w:r>
    </w:p>
    <w:p w14:paraId="395D872E" w14:textId="77777777" w:rsidR="001C2A3C" w:rsidRDefault="001C2A3C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5417BEE9" w14:textId="77777777" w:rsidR="001C2A3C" w:rsidRDefault="00000000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lastRenderedPageBreak/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жилищного контроля.</w:t>
      </w:r>
    </w:p>
    <w:p w14:paraId="2E03CA43" w14:textId="77777777" w:rsidR="001C2A3C" w:rsidRDefault="00000000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В систему показателей результативности и эффективности деятельности, указанную в настоящем Положении, входят:</w:t>
      </w:r>
    </w:p>
    <w:p w14:paraId="6273291B" w14:textId="77777777" w:rsidR="001C2A3C" w:rsidRDefault="00000000">
      <w:pPr>
        <w:numPr>
          <w:ilvl w:val="0"/>
          <w:numId w:val="6"/>
        </w:numPr>
        <w:tabs>
          <w:tab w:val="left" w:pos="118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ключевые показатели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муниципального жилищного контроля;</w:t>
      </w:r>
    </w:p>
    <w:p w14:paraId="76FCD68F" w14:textId="77777777" w:rsidR="001C2A3C" w:rsidRDefault="00000000">
      <w:pPr>
        <w:numPr>
          <w:ilvl w:val="0"/>
          <w:numId w:val="6"/>
        </w:numPr>
        <w:tabs>
          <w:tab w:val="left" w:pos="118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индикативные показатели муниципального жилищного контроля.</w:t>
      </w:r>
    </w:p>
    <w:p w14:paraId="5CC01F6A" w14:textId="77777777" w:rsidR="001C2A3C" w:rsidRDefault="00000000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  <w:sectPr w:rsidR="001C2A3C">
          <w:pgSz w:w="11906" w:h="16838"/>
          <w:pgMar w:top="851" w:right="567" w:bottom="851" w:left="1418" w:header="0" w:footer="0" w:gutter="0"/>
          <w:cols w:space="720"/>
          <w:formProt w:val="0"/>
          <w:docGrid w:linePitch="360" w:charSpace="4096"/>
        </w:sect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Ключевые показатели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жилищного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контроля и их целевые значения, индикативные показатели муниципального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жилищного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контроля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утверждаются решением Думы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сельского поселения   </w:t>
      </w:r>
    </w:p>
    <w:p w14:paraId="5181FBE6" w14:textId="77777777" w:rsidR="001C2A3C" w:rsidRDefault="00000000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План мероприятий по профилактике нарушений законодательства</w:t>
      </w:r>
    </w:p>
    <w:p w14:paraId="02A990F5" w14:textId="77777777" w:rsidR="001C2A3C" w:rsidRDefault="00000000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Усть-Ницинского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сельского поселения на 2024 год</w:t>
      </w:r>
    </w:p>
    <w:p w14:paraId="3E2AB7C8" w14:textId="77777777" w:rsidR="001C2A3C" w:rsidRDefault="001C2A3C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9641" w:type="dxa"/>
        <w:tblInd w:w="-4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1844"/>
        <w:gridCol w:w="3686"/>
        <w:gridCol w:w="143"/>
        <w:gridCol w:w="1842"/>
        <w:gridCol w:w="142"/>
        <w:gridCol w:w="1136"/>
        <w:gridCol w:w="140"/>
      </w:tblGrid>
      <w:tr w:rsidR="001C2A3C" w14:paraId="33B4C7B2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5704" w14:textId="77777777" w:rsidR="001C2A3C" w:rsidRDefault="001C2A3C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</w:p>
          <w:p w14:paraId="37EBF963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72CB28FF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BD43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9B2A5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2ECB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0D32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0" w:type="dxa"/>
          </w:tcPr>
          <w:p w14:paraId="6FB5FCEB" w14:textId="77777777" w:rsidR="001C2A3C" w:rsidRDefault="001C2A3C">
            <w:pPr>
              <w:widowControl w:val="0"/>
            </w:pPr>
          </w:p>
        </w:tc>
      </w:tr>
      <w:tr w:rsidR="001C2A3C" w14:paraId="1A27ADA4" w14:textId="77777777">
        <w:trPr>
          <w:trHeight w:val="26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DC91D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2205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F468" w14:textId="77777777" w:rsidR="001C2A3C" w:rsidRDefault="00000000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Администрацией осуществляется информирование контролируемых лиц и иных заинтересованных лиц по вопросам соблюдения обязательных требований.</w:t>
            </w:r>
          </w:p>
          <w:p w14:paraId="089F046A" w14:textId="77777777" w:rsidR="001C2A3C" w:rsidRDefault="00000000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77906B0" w14:textId="77777777" w:rsidR="001C2A3C" w:rsidRDefault="0000000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Контрольный орган обязан размещать и поддерживать в актуальном состоянии на официальном сайте </w:t>
            </w: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Усть-Ницинского</w:t>
            </w:r>
            <w:proofErr w:type="spell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Интернет:</w:t>
            </w:r>
          </w:p>
          <w:p w14:paraId="59025FE8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0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контроля;</w:t>
            </w:r>
          </w:p>
          <w:p w14:paraId="4B263C8B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14:paraId="14ED849A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704D531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0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утвержденные проверочные листы в формате, допускающем их использование для самообследования;</w:t>
            </w:r>
          </w:p>
          <w:p w14:paraId="0F73C36C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-151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руководства по соблюдению обязательных требований;</w:t>
            </w:r>
          </w:p>
          <w:p w14:paraId="671CBB35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-10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5446CA34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</w:tabs>
              <w:spacing w:after="0" w:line="240" w:lineRule="auto"/>
              <w:ind w:left="143" w:right="141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3AC80096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14:paraId="25CB5036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14:paraId="03D0F9AB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0306C4A1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сведения о применении контрольным (надзорным) органом мер стимулирования добросовестности контролируемых лиц;</w:t>
            </w:r>
          </w:p>
          <w:p w14:paraId="35B20E1C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0AD415CE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  <w:p w14:paraId="05552AD9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доклады о муниципальном контроле;</w:t>
            </w:r>
          </w:p>
          <w:p w14:paraId="2F598459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1837290B" w14:textId="77777777" w:rsidR="001C2A3C" w:rsidRDefault="0000000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иные сведения, предусмотренные нормативными правовыми актами Российской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5541" w14:textId="77777777" w:rsidR="001C2A3C" w:rsidRDefault="00000000">
            <w:pPr>
              <w:widowControl w:val="0"/>
              <w:spacing w:after="0" w:line="240" w:lineRule="auto"/>
              <w:ind w:left="128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автомобильном транспорте и в дорожном хозяйстве в границах населенных пунктов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Усть-Ницинского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5250" w14:textId="77777777" w:rsidR="001C2A3C" w:rsidRDefault="00000000">
            <w:pPr>
              <w:widowControl w:val="0"/>
              <w:spacing w:after="0" w:line="240" w:lineRule="auto"/>
              <w:ind w:left="163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C2A3C" w14:paraId="756B599C" w14:textId="77777777">
        <w:trPr>
          <w:trHeight w:val="39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399A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BEA8" w14:textId="77777777" w:rsidR="001C2A3C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1AA8" w14:textId="77777777" w:rsidR="001C2A3C" w:rsidRDefault="00000000">
            <w:pPr>
              <w:widowControl w:val="0"/>
              <w:spacing w:after="0" w:line="240" w:lineRule="auto"/>
              <w:ind w:left="142" w:firstLine="142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14:paraId="0B9D80F7" w14:textId="77777777" w:rsidR="001C2A3C" w:rsidRDefault="0000000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14:paraId="346946CB" w14:textId="77777777" w:rsidR="001C2A3C" w:rsidRDefault="00000000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Контролируемое лицо вправе после получения предостережения подать в контрольный орган возражение в отношении указанного предостережения.</w:t>
            </w:r>
          </w:p>
          <w:p w14:paraId="45CDA307" w14:textId="77777777" w:rsidR="001C2A3C" w:rsidRDefault="0000000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Возражение в отношении предостережения рассматривается уполномоченным органом в течение 20 дней со дня получения такого возражения. По результатам рассмотрения возражения в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предостережения контролируемому лицу направляется ответ.</w:t>
            </w:r>
          </w:p>
          <w:p w14:paraId="7CF40FBE" w14:textId="77777777" w:rsidR="001C2A3C" w:rsidRDefault="00000000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E1D0" w14:textId="77777777" w:rsidR="001C2A3C" w:rsidRDefault="00000000">
            <w:pPr>
              <w:widowControl w:val="0"/>
              <w:spacing w:after="0" w:line="240" w:lineRule="auto"/>
              <w:ind w:left="128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автомобильном транспорте и в дорожном хозяйстве в границах населенных пунктов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Усть-Ницинского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B0B9" w14:textId="77777777" w:rsidR="001C2A3C" w:rsidRDefault="00000000">
            <w:pPr>
              <w:widowControl w:val="0"/>
              <w:spacing w:after="0" w:line="240" w:lineRule="auto"/>
              <w:ind w:left="163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C2A3C" w14:paraId="184A34BE" w14:textId="77777777">
        <w:trPr>
          <w:trHeight w:val="42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9C8D" w14:textId="77777777" w:rsidR="001C2A3C" w:rsidRDefault="00000000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8FD6" w14:textId="77777777" w:rsidR="001C2A3C" w:rsidRDefault="00000000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CA94" w14:textId="77777777" w:rsidR="001C2A3C" w:rsidRDefault="0000000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1" w:firstLine="2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14:paraId="63294E54" w14:textId="77777777" w:rsidR="001C2A3C" w:rsidRDefault="00000000">
            <w:pPr>
              <w:widowControl w:val="0"/>
              <w:spacing w:after="0" w:line="240" w:lineRule="auto"/>
              <w:ind w:left="141" w:firstLine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14:paraId="42AEE00E" w14:textId="77777777" w:rsidR="001C2A3C" w:rsidRDefault="00000000">
            <w:pPr>
              <w:widowControl w:val="0"/>
              <w:shd w:val="clear" w:color="auto" w:fill="FFFFFF"/>
              <w:tabs>
                <w:tab w:val="left" w:pos="841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14:paraId="49D6565F" w14:textId="77777777" w:rsidR="001C2A3C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местонахождение, контактные телефоны, адрес официального сайта Сладковского сельского поселения в информационно-телекоммуникационной сети «Интернет» и адреса электронной почты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3EBC59D2" w14:textId="77777777" w:rsidR="001C2A3C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график работы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, время приема посетителей;</w:t>
            </w:r>
          </w:p>
          <w:p w14:paraId="5ACEA8ED" w14:textId="77777777" w:rsidR="001C2A3C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номера кабинетов, где проводятся прием и информирование посетителей по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вопросам осуществления муниципального контроля, а также фамилии, имена, отчества (при наличии)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инспекторов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, осуществляющих прием и информирование;</w:t>
            </w:r>
          </w:p>
          <w:p w14:paraId="45336B8E" w14:textId="77777777" w:rsidR="001C2A3C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нормативных правовых актов, регулирующих осуществление муниципального контроля;</w:t>
            </w:r>
          </w:p>
          <w:p w14:paraId="60B21029" w14:textId="77777777" w:rsidR="001C2A3C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актов, содержащих обязательные требования.</w:t>
            </w:r>
          </w:p>
          <w:p w14:paraId="2A22CC1D" w14:textId="77777777" w:rsidR="001C2A3C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1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По итогам консультирования информация, предоставленная в ходе устного консультирования, в письменной форме контролируемым лицам и их представителям не предоставляется.</w:t>
            </w:r>
          </w:p>
          <w:p w14:paraId="13FD3880" w14:textId="77777777" w:rsidR="001C2A3C" w:rsidRDefault="00000000">
            <w:pPr>
              <w:widowControl w:val="0"/>
              <w:spacing w:after="0" w:line="240" w:lineRule="auto"/>
              <w:ind w:left="141" w:firstLine="2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Контролируемое лицо вправе направить в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запрос о предоставлении письменного ответа об организации и осуществлении муниципального контроля, в порядке и в сроки, установленные Федеральным </w:t>
            </w:r>
            <w:hyperlink r:id="rId6" w:anchor="_blank" w:history="1">
              <w:r>
                <w:rPr>
                  <w:rFonts w:ascii="Liberation Serif" w:eastAsia="Times New Roman" w:hAnsi="Liberation Serif" w:cs="Arial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746D304F" w14:textId="77777777" w:rsidR="001C2A3C" w:rsidRDefault="00000000">
            <w:pPr>
              <w:widowControl w:val="0"/>
              <w:tabs>
                <w:tab w:val="left" w:pos="573"/>
                <w:tab w:val="left" w:pos="1276"/>
              </w:tabs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в письменной форме, в соответствии запросом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      </w:r>
          </w:p>
          <w:p w14:paraId="1BE32E2D" w14:textId="77777777" w:rsidR="001C2A3C" w:rsidRDefault="0000000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73"/>
                <w:tab w:val="left" w:pos="1276"/>
              </w:tabs>
              <w:spacing w:after="0" w:line="240" w:lineRule="auto"/>
              <w:ind w:left="142" w:hanging="1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14:paraId="756F4857" w14:textId="77777777" w:rsidR="001C2A3C" w:rsidRDefault="0000000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73"/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основание назначения контрольного мероприятия, предусмотренного пунктом 35 настоящего Положения, в случае назначения такого контрольного мероприятия в отношении объекта контроля, принадлежащего обратившемуся контролируемому лицу или используемого таким контролируемым лицом;</w:t>
            </w:r>
          </w:p>
          <w:p w14:paraId="49372332" w14:textId="77777777" w:rsidR="001C2A3C" w:rsidRDefault="0000000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73"/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основание объявления обратившемуся контролируемому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лицу предостережения;</w:t>
            </w:r>
          </w:p>
          <w:p w14:paraId="634E1D16" w14:textId="77777777" w:rsidR="001C2A3C" w:rsidRDefault="00000000">
            <w:pPr>
              <w:widowControl w:val="0"/>
              <w:tabs>
                <w:tab w:val="left" w:pos="573"/>
              </w:tabs>
              <w:spacing w:after="0" w:line="240" w:lineRule="auto"/>
              <w:ind w:left="14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D2B9" w14:textId="77777777" w:rsidR="001C2A3C" w:rsidRDefault="00000000">
            <w:pPr>
              <w:widowControl w:val="0"/>
              <w:spacing w:after="0" w:line="240" w:lineRule="auto"/>
              <w:ind w:left="128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автомобильном транспорте и в дорожном хозяйстве в границах населенных пунктов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Усть-Ницинского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6D51B" w14:textId="77777777" w:rsidR="001C2A3C" w:rsidRDefault="00000000">
            <w:pPr>
              <w:widowControl w:val="0"/>
              <w:spacing w:after="0" w:line="240" w:lineRule="auto"/>
              <w:ind w:left="163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71D61EE2" w14:textId="77777777" w:rsidR="001C2A3C" w:rsidRDefault="001C2A3C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3E6BB757" w14:textId="77777777" w:rsidR="001C2A3C" w:rsidRDefault="001C2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sectPr w:rsidR="001C2A3C">
      <w:pgSz w:w="11906" w:h="16838"/>
      <w:pgMar w:top="567" w:right="851" w:bottom="567" w:left="1418" w:header="0" w:footer="0" w:gutter="0"/>
      <w:cols w:space="720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86D"/>
    <w:multiLevelType w:val="multilevel"/>
    <w:tmpl w:val="A78649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91239"/>
    <w:multiLevelType w:val="multilevel"/>
    <w:tmpl w:val="7382A662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5549FC"/>
    <w:multiLevelType w:val="multilevel"/>
    <w:tmpl w:val="3C423A7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11953CB8"/>
    <w:multiLevelType w:val="multilevel"/>
    <w:tmpl w:val="5110539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451F3F"/>
    <w:multiLevelType w:val="multilevel"/>
    <w:tmpl w:val="FD2AC0F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1A695783"/>
    <w:multiLevelType w:val="multilevel"/>
    <w:tmpl w:val="F2E6F3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8422F8"/>
    <w:multiLevelType w:val="multilevel"/>
    <w:tmpl w:val="9A7292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DB7449"/>
    <w:multiLevelType w:val="multilevel"/>
    <w:tmpl w:val="C3121FB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3E405C97"/>
    <w:multiLevelType w:val="multilevel"/>
    <w:tmpl w:val="A43032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3554BED"/>
    <w:multiLevelType w:val="multilevel"/>
    <w:tmpl w:val="1A9E8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CC26311"/>
    <w:multiLevelType w:val="multilevel"/>
    <w:tmpl w:val="86749DC0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44" w:hanging="5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4E8F097A"/>
    <w:multiLevelType w:val="multilevel"/>
    <w:tmpl w:val="91C822D8"/>
    <w:lvl w:ilvl="0">
      <w:start w:val="1"/>
      <w:numFmt w:val="decimal"/>
      <w:lvlText w:val="%1."/>
      <w:lvlJc w:val="left"/>
      <w:pPr>
        <w:tabs>
          <w:tab w:val="num" w:pos="0"/>
        </w:tabs>
        <w:ind w:left="1338" w:hanging="6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" w15:restartNumberingAfterBreak="0">
    <w:nsid w:val="4EC52ECA"/>
    <w:multiLevelType w:val="multilevel"/>
    <w:tmpl w:val="5484A15E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3D6153"/>
    <w:multiLevelType w:val="multilevel"/>
    <w:tmpl w:val="039CF10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4" w15:restartNumberingAfterBreak="0">
    <w:nsid w:val="79ED45B7"/>
    <w:multiLevelType w:val="multilevel"/>
    <w:tmpl w:val="939E836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1761294335">
    <w:abstractNumId w:val="11"/>
  </w:num>
  <w:num w:numId="2" w16cid:durableId="1769696898">
    <w:abstractNumId w:val="6"/>
  </w:num>
  <w:num w:numId="3" w16cid:durableId="255216014">
    <w:abstractNumId w:val="0"/>
  </w:num>
  <w:num w:numId="4" w16cid:durableId="71395456">
    <w:abstractNumId w:val="13"/>
  </w:num>
  <w:num w:numId="5" w16cid:durableId="1723944236">
    <w:abstractNumId w:val="9"/>
  </w:num>
  <w:num w:numId="6" w16cid:durableId="1019089834">
    <w:abstractNumId w:val="8"/>
  </w:num>
  <w:num w:numId="7" w16cid:durableId="1452280913">
    <w:abstractNumId w:val="10"/>
  </w:num>
  <w:num w:numId="8" w16cid:durableId="2123307202">
    <w:abstractNumId w:val="3"/>
  </w:num>
  <w:num w:numId="9" w16cid:durableId="855579055">
    <w:abstractNumId w:val="1"/>
  </w:num>
  <w:num w:numId="10" w16cid:durableId="1644116549">
    <w:abstractNumId w:val="12"/>
  </w:num>
  <w:num w:numId="11" w16cid:durableId="2087065376">
    <w:abstractNumId w:val="14"/>
  </w:num>
  <w:num w:numId="12" w16cid:durableId="1040974339">
    <w:abstractNumId w:val="7"/>
  </w:num>
  <w:num w:numId="13" w16cid:durableId="1262035027">
    <w:abstractNumId w:val="2"/>
  </w:num>
  <w:num w:numId="14" w16cid:durableId="1769738148">
    <w:abstractNumId w:val="4"/>
  </w:num>
  <w:num w:numId="15" w16cid:durableId="810560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3C"/>
    <w:rsid w:val="001C2A3C"/>
    <w:rsid w:val="002D236D"/>
    <w:rsid w:val="00A94746"/>
    <w:rsid w:val="00C355BC"/>
    <w:rsid w:val="00C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7124"/>
  <w15:docId w15:val="{01ED943D-D675-4C30-AC53-6A967A9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5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2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2991</Words>
  <Characters>17054</Characters>
  <Application>Microsoft Office Word</Application>
  <DocSecurity>0</DocSecurity>
  <Lines>142</Lines>
  <Paragraphs>40</Paragraphs>
  <ScaleCrop>false</ScaleCrop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pc haier</cp:lastModifiedBy>
  <cp:revision>4</cp:revision>
  <dcterms:created xsi:type="dcterms:W3CDTF">2024-07-18T04:31:00Z</dcterms:created>
  <dcterms:modified xsi:type="dcterms:W3CDTF">2024-07-18T04:36:00Z</dcterms:modified>
  <dc:language>ru-RU</dc:language>
</cp:coreProperties>
</file>