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4E1B40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31.12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</w:t>
      </w:r>
      <w:r w:rsidR="0051610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984"/>
        <w:gridCol w:w="1985"/>
        <w:gridCol w:w="1701"/>
      </w:tblGrid>
      <w:tr w:rsidR="00DE1D31" w:rsidRPr="00DE1D31" w:rsidTr="00EE651E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4E1B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4E1B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за 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4E1B40" w:rsidRPr="00DE1D31" w:rsidTr="00EE651E">
        <w:tc>
          <w:tcPr>
            <w:tcW w:w="2338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4E1B40" w:rsidRPr="009B42FB" w:rsidRDefault="004E1B40" w:rsidP="00EF1B3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83 215,5</w:t>
            </w:r>
          </w:p>
        </w:tc>
        <w:tc>
          <w:tcPr>
            <w:tcW w:w="1984" w:type="dxa"/>
          </w:tcPr>
          <w:p w:rsidR="004E1B40" w:rsidRDefault="004E1B4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100,45</w:t>
            </w:r>
          </w:p>
        </w:tc>
        <w:tc>
          <w:tcPr>
            <w:tcW w:w="1985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85 409,4</w:t>
            </w:r>
          </w:p>
        </w:tc>
        <w:tc>
          <w:tcPr>
            <w:tcW w:w="1701" w:type="dxa"/>
          </w:tcPr>
          <w:p w:rsidR="004E1B40" w:rsidRPr="009B42FB" w:rsidRDefault="004E1B40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98,32</w:t>
            </w:r>
          </w:p>
        </w:tc>
      </w:tr>
      <w:tr w:rsidR="004E1B40" w:rsidRPr="00DE1D31" w:rsidTr="00EE651E">
        <w:tc>
          <w:tcPr>
            <w:tcW w:w="2338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4E1B40" w:rsidRPr="009B42FB" w:rsidRDefault="004E1B40" w:rsidP="00EF1B3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77 382,6</w:t>
            </w:r>
          </w:p>
        </w:tc>
        <w:tc>
          <w:tcPr>
            <w:tcW w:w="1984" w:type="dxa"/>
          </w:tcPr>
          <w:p w:rsidR="004E1B40" w:rsidRDefault="004E1B4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93,15</w:t>
            </w:r>
          </w:p>
        </w:tc>
        <w:tc>
          <w:tcPr>
            <w:tcW w:w="1985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80 424,8</w:t>
            </w:r>
          </w:p>
        </w:tc>
        <w:tc>
          <w:tcPr>
            <w:tcW w:w="1701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66,82</w:t>
            </w:r>
          </w:p>
        </w:tc>
      </w:tr>
      <w:tr w:rsidR="004E1B40" w:rsidRPr="00DE1D31" w:rsidTr="00EE651E">
        <w:tc>
          <w:tcPr>
            <w:tcW w:w="2338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4E1B40" w:rsidRPr="009B42FB" w:rsidRDefault="004E1B40" w:rsidP="00EF1B3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5 832,9</w:t>
            </w:r>
          </w:p>
        </w:tc>
        <w:tc>
          <w:tcPr>
            <w:tcW w:w="1984" w:type="dxa"/>
          </w:tcPr>
          <w:p w:rsidR="004E1B40" w:rsidRDefault="004E1B4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E1B40" w:rsidRPr="009B42FB" w:rsidRDefault="004E1B40" w:rsidP="004E1B4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 xml:space="preserve"> 4 984,6</w:t>
            </w:r>
          </w:p>
        </w:tc>
        <w:tc>
          <w:tcPr>
            <w:tcW w:w="1701" w:type="dxa"/>
          </w:tcPr>
          <w:p w:rsidR="004E1B40" w:rsidRPr="009B42FB" w:rsidRDefault="004E1B40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0C4268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i/>
          <w:color w:val="0070C0"/>
          <w:spacing w:val="2"/>
          <w:sz w:val="40"/>
          <w:szCs w:val="40"/>
        </w:rPr>
      </w:pPr>
      <w:r w:rsidRPr="000C4268">
        <w:rPr>
          <w:rFonts w:ascii="Liberation Serif" w:eastAsia="Calibri" w:hAnsi="Liberation Serif" w:cs="Times New Roman"/>
          <w:b/>
          <w:i/>
          <w:color w:val="0070C0"/>
          <w:sz w:val="40"/>
          <w:szCs w:val="40"/>
          <w:highlight w:val="yellow"/>
        </w:rPr>
        <w:lastRenderedPageBreak/>
        <w:t>Дох</w:t>
      </w:r>
      <w:r w:rsidR="00F3178D" w:rsidRPr="000C4268">
        <w:rPr>
          <w:rFonts w:ascii="Liberation Serif" w:eastAsia="Calibri" w:hAnsi="Liberation Serif" w:cs="Times New Roman"/>
          <w:b/>
          <w:i/>
          <w:color w:val="0070C0"/>
          <w:sz w:val="40"/>
          <w:szCs w:val="40"/>
          <w:highlight w:val="yellow"/>
        </w:rPr>
        <w:t>оды бюджета</w:t>
      </w:r>
      <w:r w:rsidR="009B42FB" w:rsidRPr="000C4268">
        <w:rPr>
          <w:rFonts w:ascii="Liberation Serif" w:eastAsia="Calibri" w:hAnsi="Liberation Serif" w:cs="Times New Roman"/>
          <w:b/>
          <w:i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0C4268">
        <w:rPr>
          <w:rFonts w:ascii="Liberation Serif" w:eastAsia="Calibri" w:hAnsi="Liberation Serif" w:cs="Times New Roman"/>
          <w:b/>
          <w:i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0C4268">
        <w:rPr>
          <w:rFonts w:ascii="Liberation Serif" w:eastAsia="Calibri" w:hAnsi="Liberation Serif" w:cs="Times New Roman"/>
          <w:b/>
          <w:i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4E1B40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по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4E1B40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31.12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51610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060176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417"/>
        <w:gridCol w:w="1418"/>
        <w:gridCol w:w="1383"/>
        <w:gridCol w:w="1593"/>
      </w:tblGrid>
      <w:tr w:rsidR="004E3740" w:rsidTr="000C4268">
        <w:tc>
          <w:tcPr>
            <w:tcW w:w="3403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83" w:type="dxa"/>
          </w:tcPr>
          <w:p w:rsidR="004E3740" w:rsidRDefault="004E3740" w:rsidP="009861B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593" w:type="dxa"/>
            <w:vMerge w:val="restart"/>
          </w:tcPr>
          <w:p w:rsidR="004E3740" w:rsidRDefault="004E3740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0C4268">
        <w:tc>
          <w:tcPr>
            <w:tcW w:w="340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276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417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418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8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59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1604BE" w:rsidTr="000C4268">
        <w:tc>
          <w:tcPr>
            <w:tcW w:w="3403" w:type="dxa"/>
          </w:tcPr>
          <w:p w:rsidR="001604BE" w:rsidRPr="00D43145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1604BE" w:rsidRPr="00D43145" w:rsidRDefault="004E1B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86 872,3</w:t>
            </w:r>
          </w:p>
        </w:tc>
        <w:tc>
          <w:tcPr>
            <w:tcW w:w="1417" w:type="dxa"/>
          </w:tcPr>
          <w:p w:rsidR="001604BE" w:rsidRPr="00D43145" w:rsidRDefault="004E1B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85 409,4</w:t>
            </w:r>
          </w:p>
        </w:tc>
        <w:tc>
          <w:tcPr>
            <w:tcW w:w="1418" w:type="dxa"/>
          </w:tcPr>
          <w:p w:rsidR="001604BE" w:rsidRPr="00D43145" w:rsidRDefault="004E1B40" w:rsidP="0051610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98,32</w:t>
            </w:r>
          </w:p>
        </w:tc>
        <w:tc>
          <w:tcPr>
            <w:tcW w:w="1383" w:type="dxa"/>
          </w:tcPr>
          <w:p w:rsidR="001604BE" w:rsidRDefault="000C4268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83 215,5</w:t>
            </w:r>
          </w:p>
        </w:tc>
        <w:tc>
          <w:tcPr>
            <w:tcW w:w="1593" w:type="dxa"/>
          </w:tcPr>
          <w:p w:rsidR="001604BE" w:rsidRPr="00D43145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102,64</w:t>
            </w:r>
          </w:p>
        </w:tc>
      </w:tr>
      <w:tr w:rsidR="000C4268" w:rsidTr="000C4268">
        <w:tc>
          <w:tcPr>
            <w:tcW w:w="3403" w:type="dxa"/>
          </w:tcPr>
          <w:p w:rsidR="000C4268" w:rsidRPr="003564AC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C4268" w:rsidRPr="003564AC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14 956,0</w:t>
            </w:r>
          </w:p>
        </w:tc>
        <w:tc>
          <w:tcPr>
            <w:tcW w:w="1417" w:type="dxa"/>
          </w:tcPr>
          <w:p w:rsidR="000C4268" w:rsidRPr="003564AC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14 100,9</w:t>
            </w:r>
          </w:p>
        </w:tc>
        <w:tc>
          <w:tcPr>
            <w:tcW w:w="1418" w:type="dxa"/>
          </w:tcPr>
          <w:p w:rsidR="000C4268" w:rsidRPr="003564AC" w:rsidRDefault="000C4268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94,28</w:t>
            </w:r>
          </w:p>
        </w:tc>
        <w:tc>
          <w:tcPr>
            <w:tcW w:w="1383" w:type="dxa"/>
          </w:tcPr>
          <w:p w:rsidR="000C4268" w:rsidRPr="00D43145" w:rsidRDefault="000C4268" w:rsidP="00DD6A5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14 167,9</w:t>
            </w:r>
          </w:p>
        </w:tc>
        <w:tc>
          <w:tcPr>
            <w:tcW w:w="1593" w:type="dxa"/>
          </w:tcPr>
          <w:p w:rsidR="000C4268" w:rsidRPr="003564AC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99,53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C4268" w:rsidRPr="003564AC" w:rsidRDefault="000C4268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417,0</w:t>
            </w:r>
          </w:p>
        </w:tc>
        <w:tc>
          <w:tcPr>
            <w:tcW w:w="1417" w:type="dxa"/>
          </w:tcPr>
          <w:p w:rsidR="000C4268" w:rsidRPr="003564AC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494,6</w:t>
            </w:r>
          </w:p>
        </w:tc>
        <w:tc>
          <w:tcPr>
            <w:tcW w:w="1418" w:type="dxa"/>
          </w:tcPr>
          <w:p w:rsidR="000C4268" w:rsidRPr="003564AC" w:rsidRDefault="000C4268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118,60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398,5</w:t>
            </w:r>
          </w:p>
        </w:tc>
        <w:tc>
          <w:tcPr>
            <w:tcW w:w="1593" w:type="dxa"/>
          </w:tcPr>
          <w:p w:rsidR="000C4268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124,12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276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11 268,0</w:t>
            </w:r>
          </w:p>
        </w:tc>
        <w:tc>
          <w:tcPr>
            <w:tcW w:w="1417" w:type="dxa"/>
          </w:tcPr>
          <w:p w:rsidR="000C4268" w:rsidRDefault="000C4268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11 483,3</w:t>
            </w:r>
          </w:p>
        </w:tc>
        <w:tc>
          <w:tcPr>
            <w:tcW w:w="1418" w:type="dxa"/>
          </w:tcPr>
          <w:p w:rsidR="000C4268" w:rsidRDefault="000C4268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101,91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10 679,7</w:t>
            </w:r>
          </w:p>
        </w:tc>
        <w:tc>
          <w:tcPr>
            <w:tcW w:w="1593" w:type="dxa"/>
          </w:tcPr>
          <w:p w:rsidR="000C4268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107,52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1 020,0</w:t>
            </w:r>
          </w:p>
        </w:tc>
        <w:tc>
          <w:tcPr>
            <w:tcW w:w="1417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997,6</w:t>
            </w:r>
          </w:p>
        </w:tc>
        <w:tc>
          <w:tcPr>
            <w:tcW w:w="1418" w:type="dxa"/>
          </w:tcPr>
          <w:p w:rsidR="000C4268" w:rsidRDefault="000C4268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97,81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817,7</w:t>
            </w:r>
          </w:p>
        </w:tc>
        <w:tc>
          <w:tcPr>
            <w:tcW w:w="1593" w:type="dxa"/>
          </w:tcPr>
          <w:p w:rsidR="000C4268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122,00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0C4268" w:rsidRDefault="000C4268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2 085,0</w:t>
            </w:r>
          </w:p>
        </w:tc>
        <w:tc>
          <w:tcPr>
            <w:tcW w:w="1417" w:type="dxa"/>
          </w:tcPr>
          <w:p w:rsidR="000C4268" w:rsidRDefault="000C4268" w:rsidP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967,6</w:t>
            </w:r>
          </w:p>
        </w:tc>
        <w:tc>
          <w:tcPr>
            <w:tcW w:w="1418" w:type="dxa"/>
          </w:tcPr>
          <w:p w:rsidR="000C4268" w:rsidRDefault="000C4268" w:rsidP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46,40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2 102,5</w:t>
            </w:r>
          </w:p>
        </w:tc>
        <w:tc>
          <w:tcPr>
            <w:tcW w:w="1593" w:type="dxa"/>
          </w:tcPr>
          <w:p w:rsidR="000C4268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46,02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0C4268" w:rsidRPr="007F4ACD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166,0</w:t>
            </w:r>
          </w:p>
        </w:tc>
        <w:tc>
          <w:tcPr>
            <w:tcW w:w="1417" w:type="dxa"/>
          </w:tcPr>
          <w:p w:rsidR="000C4268" w:rsidRPr="007F4ACD" w:rsidRDefault="000C4268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157,8</w:t>
            </w:r>
          </w:p>
        </w:tc>
        <w:tc>
          <w:tcPr>
            <w:tcW w:w="1418" w:type="dxa"/>
          </w:tcPr>
          <w:p w:rsidR="000C4268" w:rsidRPr="007F4ACD" w:rsidRDefault="000C4268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95,03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169,5</w:t>
            </w:r>
          </w:p>
        </w:tc>
        <w:tc>
          <w:tcPr>
            <w:tcW w:w="1593" w:type="dxa"/>
          </w:tcPr>
          <w:p w:rsidR="000C4268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93,10</w:t>
            </w:r>
          </w:p>
        </w:tc>
      </w:tr>
      <w:tr w:rsidR="001604BE" w:rsidTr="000C4268">
        <w:tc>
          <w:tcPr>
            <w:tcW w:w="3403" w:type="dxa"/>
          </w:tcPr>
          <w:p w:rsidR="001604BE" w:rsidRPr="00D43145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71 916,3</w:t>
            </w:r>
          </w:p>
          <w:p w:rsidR="001604BE" w:rsidRPr="008A3122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</w:p>
        </w:tc>
        <w:tc>
          <w:tcPr>
            <w:tcW w:w="1417" w:type="dxa"/>
          </w:tcPr>
          <w:p w:rsidR="001604BE" w:rsidRPr="008A3122" w:rsidRDefault="000C4268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71 308,5</w:t>
            </w:r>
          </w:p>
        </w:tc>
        <w:tc>
          <w:tcPr>
            <w:tcW w:w="1418" w:type="dxa"/>
          </w:tcPr>
          <w:p w:rsidR="001604BE" w:rsidRPr="008A3122" w:rsidRDefault="001C6D6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72,92</w:t>
            </w:r>
          </w:p>
        </w:tc>
        <w:tc>
          <w:tcPr>
            <w:tcW w:w="1383" w:type="dxa"/>
          </w:tcPr>
          <w:p w:rsidR="001604BE" w:rsidRDefault="000C4268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69 047,6</w:t>
            </w:r>
          </w:p>
        </w:tc>
        <w:tc>
          <w:tcPr>
            <w:tcW w:w="1593" w:type="dxa"/>
          </w:tcPr>
          <w:p w:rsidR="001604BE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103,27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7 347,0</w:t>
            </w:r>
          </w:p>
        </w:tc>
        <w:tc>
          <w:tcPr>
            <w:tcW w:w="1417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7 347,0</w:t>
            </w:r>
          </w:p>
        </w:tc>
        <w:tc>
          <w:tcPr>
            <w:tcW w:w="1418" w:type="dxa"/>
          </w:tcPr>
          <w:p w:rsidR="000C4268" w:rsidRDefault="000C4268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4 971,9</w:t>
            </w:r>
          </w:p>
        </w:tc>
        <w:tc>
          <w:tcPr>
            <w:tcW w:w="1593" w:type="dxa"/>
          </w:tcPr>
          <w:p w:rsidR="000C4268" w:rsidRPr="003400C3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147,77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субвенции</w:t>
            </w:r>
          </w:p>
        </w:tc>
        <w:tc>
          <w:tcPr>
            <w:tcW w:w="1276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336,8</w:t>
            </w:r>
          </w:p>
        </w:tc>
        <w:tc>
          <w:tcPr>
            <w:tcW w:w="1417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336,8</w:t>
            </w:r>
          </w:p>
        </w:tc>
        <w:tc>
          <w:tcPr>
            <w:tcW w:w="1418" w:type="dxa"/>
          </w:tcPr>
          <w:p w:rsidR="000C4268" w:rsidRDefault="000C4268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325,0</w:t>
            </w:r>
          </w:p>
        </w:tc>
        <w:tc>
          <w:tcPr>
            <w:tcW w:w="1593" w:type="dxa"/>
          </w:tcPr>
          <w:p w:rsidR="000C4268" w:rsidRPr="003400C3" w:rsidRDefault="00A2473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103,63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4 413,2</w:t>
            </w:r>
          </w:p>
        </w:tc>
        <w:tc>
          <w:tcPr>
            <w:tcW w:w="1417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4 413,2</w:t>
            </w:r>
          </w:p>
        </w:tc>
        <w:tc>
          <w:tcPr>
            <w:tcW w:w="1418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3 742,7</w:t>
            </w:r>
          </w:p>
        </w:tc>
        <w:tc>
          <w:tcPr>
            <w:tcW w:w="1593" w:type="dxa"/>
          </w:tcPr>
          <w:p w:rsidR="000C4268" w:rsidRPr="003400C3" w:rsidRDefault="00E76AA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117,91</w:t>
            </w:r>
          </w:p>
        </w:tc>
      </w:tr>
      <w:tr w:rsidR="000C4268" w:rsidTr="000C4268">
        <w:tc>
          <w:tcPr>
            <w:tcW w:w="3403" w:type="dxa"/>
          </w:tcPr>
          <w:p w:rsidR="000C4268" w:rsidRPr="001604BE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</w:tcPr>
          <w:p w:rsidR="000C4268" w:rsidRDefault="000C4268" w:rsidP="000C426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58 376,1</w:t>
            </w:r>
          </w:p>
        </w:tc>
        <w:tc>
          <w:tcPr>
            <w:tcW w:w="1417" w:type="dxa"/>
          </w:tcPr>
          <w:p w:rsidR="000C4268" w:rsidRDefault="000C4268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57 768,3</w:t>
            </w:r>
          </w:p>
        </w:tc>
        <w:tc>
          <w:tcPr>
            <w:tcW w:w="1418" w:type="dxa"/>
          </w:tcPr>
          <w:p w:rsidR="000C4268" w:rsidRDefault="000C426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98,96</w:t>
            </w:r>
          </w:p>
        </w:tc>
        <w:tc>
          <w:tcPr>
            <w:tcW w:w="1383" w:type="dxa"/>
          </w:tcPr>
          <w:p w:rsidR="000C4268" w:rsidRDefault="000C4268" w:rsidP="00DD6A5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59 857,8</w:t>
            </w:r>
          </w:p>
        </w:tc>
        <w:tc>
          <w:tcPr>
            <w:tcW w:w="1593" w:type="dxa"/>
          </w:tcPr>
          <w:p w:rsidR="000C4268" w:rsidRPr="003400C3" w:rsidRDefault="00E76AA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96,51</w:t>
            </w:r>
          </w:p>
        </w:tc>
      </w:tr>
      <w:tr w:rsidR="001604BE" w:rsidTr="000C4268">
        <w:tc>
          <w:tcPr>
            <w:tcW w:w="3403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1276" w:type="dxa"/>
          </w:tcPr>
          <w:p w:rsidR="001604BE" w:rsidRDefault="001604BE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417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418" w:type="dxa"/>
          </w:tcPr>
          <w:p w:rsidR="001604BE" w:rsidRDefault="001604BE" w:rsidP="006606D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59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73,85</w:t>
            </w:r>
          </w:p>
        </w:tc>
      </w:tr>
      <w:tr w:rsidR="00BC332B" w:rsidTr="000C4268">
        <w:tc>
          <w:tcPr>
            <w:tcW w:w="3403" w:type="dxa"/>
          </w:tcPr>
          <w:p w:rsidR="00BC332B" w:rsidRPr="001604BE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Возврат прочих остатков субсидий субвенций и иных межбюджетных трансфертов</w:t>
            </w:r>
          </w:p>
        </w:tc>
        <w:tc>
          <w:tcPr>
            <w:tcW w:w="1276" w:type="dxa"/>
          </w:tcPr>
          <w:p w:rsidR="00BC332B" w:rsidRDefault="00BC332B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  <w:r w:rsidR="006606D6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122,1</w:t>
            </w:r>
          </w:p>
        </w:tc>
        <w:tc>
          <w:tcPr>
            <w:tcW w:w="1417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-122,1</w:t>
            </w:r>
          </w:p>
        </w:tc>
        <w:tc>
          <w:tcPr>
            <w:tcW w:w="1418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83" w:type="dxa"/>
          </w:tcPr>
          <w:p w:rsidR="00BC332B" w:rsidRDefault="00BC332B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59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1604BE" w:rsidTr="000C4268">
        <w:tc>
          <w:tcPr>
            <w:tcW w:w="3403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 (гранты) бюджетам сельских поселений за достижение показателей деятельности ОМС</w:t>
            </w:r>
          </w:p>
        </w:tc>
        <w:tc>
          <w:tcPr>
            <w:tcW w:w="1276" w:type="dxa"/>
          </w:tcPr>
          <w:p w:rsidR="001604BE" w:rsidRDefault="001C6D60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60,6</w:t>
            </w:r>
          </w:p>
        </w:tc>
        <w:tc>
          <w:tcPr>
            <w:tcW w:w="1417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60,6</w:t>
            </w:r>
          </w:p>
        </w:tc>
        <w:tc>
          <w:tcPr>
            <w:tcW w:w="1418" w:type="dxa"/>
          </w:tcPr>
          <w:p w:rsidR="001604BE" w:rsidRDefault="001C6D6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1604BE" w:rsidRDefault="001604BE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54,2</w:t>
            </w:r>
          </w:p>
        </w:tc>
        <w:tc>
          <w:tcPr>
            <w:tcW w:w="1593" w:type="dxa"/>
          </w:tcPr>
          <w:p w:rsidR="001604BE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111,81</w:t>
            </w:r>
          </w:p>
        </w:tc>
      </w:tr>
      <w:tr w:rsidR="004C7789" w:rsidTr="000C4268">
        <w:tc>
          <w:tcPr>
            <w:tcW w:w="3403" w:type="dxa"/>
          </w:tcPr>
          <w:p w:rsidR="004C7789" w:rsidRPr="003672A1" w:rsidRDefault="004C778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:rsidR="004C7789" w:rsidRDefault="004C7789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1 378,0</w:t>
            </w:r>
          </w:p>
        </w:tc>
        <w:tc>
          <w:tcPr>
            <w:tcW w:w="1417" w:type="dxa"/>
          </w:tcPr>
          <w:p w:rsidR="004C7789" w:rsidRDefault="004C778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1 378,0</w:t>
            </w:r>
          </w:p>
        </w:tc>
        <w:tc>
          <w:tcPr>
            <w:tcW w:w="1418" w:type="dxa"/>
          </w:tcPr>
          <w:p w:rsidR="004C7789" w:rsidRDefault="004C778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4C7789" w:rsidRDefault="00E76AA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593" w:type="dxa"/>
          </w:tcPr>
          <w:p w:rsidR="004C7789" w:rsidRDefault="00E76AA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4C7789" w:rsidTr="000C4268">
        <w:tc>
          <w:tcPr>
            <w:tcW w:w="3403" w:type="dxa"/>
          </w:tcPr>
          <w:p w:rsidR="004C7789" w:rsidRPr="003672A1" w:rsidRDefault="004C7789" w:rsidP="004C7789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Субсидии на подготовку проектов межевания земельных участков  и на проведение кадастровых работ</w:t>
            </w:r>
          </w:p>
        </w:tc>
        <w:tc>
          <w:tcPr>
            <w:tcW w:w="1276" w:type="dxa"/>
          </w:tcPr>
          <w:p w:rsidR="004C7789" w:rsidRDefault="004C7789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55,8</w:t>
            </w:r>
          </w:p>
        </w:tc>
        <w:tc>
          <w:tcPr>
            <w:tcW w:w="1417" w:type="dxa"/>
          </w:tcPr>
          <w:p w:rsidR="004C7789" w:rsidRDefault="004C778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55,8</w:t>
            </w:r>
          </w:p>
        </w:tc>
        <w:tc>
          <w:tcPr>
            <w:tcW w:w="1418" w:type="dxa"/>
          </w:tcPr>
          <w:p w:rsidR="004C7789" w:rsidRDefault="004C778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83" w:type="dxa"/>
          </w:tcPr>
          <w:p w:rsidR="004C7789" w:rsidRDefault="00E76AA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593" w:type="dxa"/>
          </w:tcPr>
          <w:p w:rsidR="004C7789" w:rsidRDefault="00E76AA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bookmarkStart w:id="0" w:name="_GoBack"/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Анализ исполнения за 20</w:t>
      </w:r>
      <w:r w:rsidR="0016427A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21AAE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 w:rsidRPr="00890840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C0388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13844,1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3F67D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14405,8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3F67D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14405,8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104,06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313,2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336,4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336,4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107,41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7846,9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3016,3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3016,3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38,44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15305,1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89084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17343,0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11922,3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68,74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77,90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7044,9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15911,4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14762,5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93,91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209,55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2942,0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2942,0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275,98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3F67D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31227,2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CC389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32469,8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32469,8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103,98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3F67D1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677,3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500,6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500,6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73,91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AE707A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Default="003F67D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Default="003F67D1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134,15</w:t>
                                  </w:r>
                                </w:p>
                              </w:tc>
                            </w:tr>
                            <w:tr w:rsidR="003F67D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67D1" w:rsidRPr="00B43FAC" w:rsidRDefault="003F67D1" w:rsidP="00D045B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77382,6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F67D1" w:rsidRPr="00B43FAC" w:rsidRDefault="003F67D1" w:rsidP="00CC389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86994,4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80424,8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92,45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F67D1" w:rsidRPr="00B43FAC" w:rsidRDefault="003F67D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102,27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C0388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13844,1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3F67D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14405,8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3F67D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14405,8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104,06</w:t>
                            </w:r>
                          </w:p>
                        </w:tc>
                      </w:tr>
                      <w:tr w:rsidR="003F67D1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313,2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336,4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336,4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107,41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7846,9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3016,3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3016,3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38,44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15305,1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89084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17343,0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11922,3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68,74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77,90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7044,9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15911,4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14762,5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93,91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209,55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1066,0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2942,0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2942,0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275,98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3F67D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31227,2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CC389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32469,8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32469,8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103,98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</w:tr>
                      <w:tr w:rsidR="003F67D1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677,3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500,6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500,6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73,91</w:t>
                            </w:r>
                          </w:p>
                        </w:tc>
                      </w:tr>
                      <w:tr w:rsidR="003F67D1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AE707A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Default="003F67D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Default="003F67D1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134,15</w:t>
                            </w:r>
                          </w:p>
                        </w:tc>
                      </w:tr>
                      <w:tr w:rsidR="003F67D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67D1" w:rsidRPr="00B43FAC" w:rsidRDefault="003F67D1" w:rsidP="00D045B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77382,6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F67D1" w:rsidRPr="00B43FAC" w:rsidRDefault="003F67D1" w:rsidP="00CC389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86994,4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80424,8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92,45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F67D1" w:rsidRPr="00B43FAC" w:rsidRDefault="003F67D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102,27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C3893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proofErr w:type="gramStart"/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за</w:t>
      </w:r>
      <w:proofErr w:type="gramEnd"/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C913B8" w:rsidRPr="00B43FAC" w:rsidRDefault="00180FD6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1A1D06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5362EB">
        <w:rPr>
          <w:rFonts w:ascii="Liberation Serif" w:hAnsi="Liberation Serif" w:cs="Times New Roman"/>
          <w:sz w:val="28"/>
          <w:szCs w:val="28"/>
        </w:rPr>
        <w:t>40,3</w:t>
      </w:r>
      <w:r w:rsidR="008E27D9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="008E27D9">
        <w:rPr>
          <w:rFonts w:ascii="Liberation Serif" w:hAnsi="Liberation Serif" w:cs="Times New Roman"/>
          <w:sz w:val="28"/>
          <w:szCs w:val="28"/>
        </w:rPr>
        <w:t>жилищно-коммунальное хозяйство – 18,</w:t>
      </w:r>
      <w:r w:rsidR="005362EB">
        <w:rPr>
          <w:rFonts w:ascii="Liberation Serif" w:hAnsi="Liberation Serif" w:cs="Times New Roman"/>
          <w:sz w:val="28"/>
          <w:szCs w:val="28"/>
        </w:rPr>
        <w:t>36</w:t>
      </w:r>
      <w:r w:rsidR="008E27D9">
        <w:rPr>
          <w:rFonts w:ascii="Liberation Serif" w:hAnsi="Liberation Serif" w:cs="Times New Roman"/>
          <w:sz w:val="28"/>
          <w:szCs w:val="28"/>
        </w:rPr>
        <w:t xml:space="preserve"> %,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5362EB">
        <w:rPr>
          <w:rFonts w:ascii="Liberation Serif" w:hAnsi="Liberation Serif" w:cs="Times New Roman"/>
          <w:sz w:val="28"/>
          <w:szCs w:val="28"/>
        </w:rPr>
        <w:t>17,91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5362EB">
        <w:rPr>
          <w:rFonts w:ascii="Liberation Serif" w:hAnsi="Liberation Serif" w:cs="Times New Roman"/>
          <w:sz w:val="28"/>
          <w:szCs w:val="28"/>
        </w:rPr>
        <w:t>14,82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1950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>Структура исполнения расходов за 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AA189D" w:rsidRPr="001E3675" w:rsidRDefault="002F4F07" w:rsidP="00AA189D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CE3C60">
        <w:rPr>
          <w:rFonts w:ascii="Liberation Serif" w:hAnsi="Liberation Serif" w:cs="Times New Roman"/>
          <w:sz w:val="28"/>
          <w:szCs w:val="28"/>
        </w:rPr>
        <w:t>40,</w:t>
      </w:r>
      <w:r w:rsidR="00AA189D">
        <w:rPr>
          <w:rFonts w:ascii="Liberation Serif" w:hAnsi="Liberation Serif" w:cs="Times New Roman"/>
          <w:sz w:val="28"/>
          <w:szCs w:val="28"/>
        </w:rPr>
        <w:t>35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национальная экономика </w:t>
      </w:r>
      <w:r w:rsidR="00AA189D">
        <w:rPr>
          <w:rFonts w:ascii="Liberation Serif" w:hAnsi="Liberation Serif" w:cs="Times New Roman"/>
          <w:sz w:val="28"/>
          <w:szCs w:val="28"/>
        </w:rPr>
        <w:t>19,78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 w:rsidR="00AA189D">
        <w:rPr>
          <w:rFonts w:ascii="Liberation Serif" w:hAnsi="Liberation Serif" w:cs="Times New Roman"/>
          <w:sz w:val="28"/>
          <w:szCs w:val="28"/>
        </w:rPr>
        <w:t>%,</w:t>
      </w:r>
      <w:r w:rsidR="00AA189D" w:rsidRPr="00AA189D">
        <w:rPr>
          <w:rFonts w:ascii="Liberation Serif" w:hAnsi="Liberation Serif" w:cs="Times New Roman"/>
          <w:sz w:val="28"/>
          <w:szCs w:val="28"/>
        </w:rPr>
        <w:t xml:space="preserve"> </w:t>
      </w:r>
      <w:r w:rsidR="00AA189D">
        <w:rPr>
          <w:rFonts w:ascii="Liberation Serif" w:hAnsi="Liberation Serif" w:cs="Times New Roman"/>
          <w:sz w:val="28"/>
          <w:szCs w:val="28"/>
        </w:rPr>
        <w:t>о</w:t>
      </w:r>
      <w:r w:rsidR="00AA189D"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 w:rsidR="00AA189D">
        <w:rPr>
          <w:rFonts w:ascii="Liberation Serif" w:hAnsi="Liberation Serif" w:cs="Times New Roman"/>
          <w:sz w:val="28"/>
          <w:szCs w:val="28"/>
        </w:rPr>
        <w:t>– 17,89 %,</w:t>
      </w:r>
      <w:r w:rsidR="00AA189D" w:rsidRPr="001E3675">
        <w:rPr>
          <w:rFonts w:ascii="Liberation Serif" w:hAnsi="Liberation Serif" w:cs="Times New Roman"/>
          <w:sz w:val="28"/>
          <w:szCs w:val="28"/>
        </w:rPr>
        <w:t xml:space="preserve"> </w:t>
      </w:r>
      <w:r w:rsidR="00AA189D">
        <w:rPr>
          <w:rFonts w:ascii="Liberation Serif" w:hAnsi="Liberation Serif" w:cs="Times New Roman"/>
          <w:sz w:val="28"/>
          <w:szCs w:val="28"/>
        </w:rPr>
        <w:t>национальная безопасность и правоохранительная деятельность – 10,14%, жилищно-коммунальное хозяйство  – 9,10%</w:t>
      </w: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525D4" w:rsidRDefault="00056D9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6D1531B" wp14:editId="376E0707">
            <wp:extent cx="6080760" cy="4663440"/>
            <wp:effectExtent l="0" t="0" r="1524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1611" w:rsidRPr="001E3675" w:rsidRDefault="003360FE" w:rsidP="00A83A39">
      <w:pPr>
        <w:jc w:val="center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46CF31F9" wp14:editId="15BCED42">
            <wp:extent cx="5074920" cy="2529840"/>
            <wp:effectExtent l="0" t="0" r="1143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56D97"/>
    <w:rsid w:val="00060176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A6017"/>
    <w:rsid w:val="000B501C"/>
    <w:rsid w:val="000B55B9"/>
    <w:rsid w:val="000B627A"/>
    <w:rsid w:val="000C24E1"/>
    <w:rsid w:val="000C4268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04BE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D06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C6D60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B5A18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00C3"/>
    <w:rsid w:val="00343AD6"/>
    <w:rsid w:val="003504E6"/>
    <w:rsid w:val="00352C0E"/>
    <w:rsid w:val="003555B6"/>
    <w:rsid w:val="003564AC"/>
    <w:rsid w:val="003568DC"/>
    <w:rsid w:val="00361EA6"/>
    <w:rsid w:val="003630AC"/>
    <w:rsid w:val="003668C9"/>
    <w:rsid w:val="00367A00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67D1"/>
    <w:rsid w:val="003F71D4"/>
    <w:rsid w:val="0040138C"/>
    <w:rsid w:val="00405068"/>
    <w:rsid w:val="004062F3"/>
    <w:rsid w:val="00411DB4"/>
    <w:rsid w:val="0042088D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789"/>
    <w:rsid w:val="004C7FF1"/>
    <w:rsid w:val="004E1B40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104"/>
    <w:rsid w:val="005166EF"/>
    <w:rsid w:val="00520BBC"/>
    <w:rsid w:val="005279DD"/>
    <w:rsid w:val="005337E9"/>
    <w:rsid w:val="005362EB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967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06D6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211F7"/>
    <w:rsid w:val="007304DA"/>
    <w:rsid w:val="00731FFB"/>
    <w:rsid w:val="00733335"/>
    <w:rsid w:val="00733997"/>
    <w:rsid w:val="007347B9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7F277F"/>
    <w:rsid w:val="007F4ACD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525D4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0840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27D9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091F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861BB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473D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2AAE"/>
    <w:rsid w:val="00A57F7A"/>
    <w:rsid w:val="00A66C9E"/>
    <w:rsid w:val="00A83A39"/>
    <w:rsid w:val="00A846AB"/>
    <w:rsid w:val="00A85CD1"/>
    <w:rsid w:val="00A910A3"/>
    <w:rsid w:val="00A95301"/>
    <w:rsid w:val="00A97AA3"/>
    <w:rsid w:val="00AA189D"/>
    <w:rsid w:val="00AA2727"/>
    <w:rsid w:val="00AA31EE"/>
    <w:rsid w:val="00AA64EA"/>
    <w:rsid w:val="00AA6B0C"/>
    <w:rsid w:val="00AA6F88"/>
    <w:rsid w:val="00AB422F"/>
    <w:rsid w:val="00AB61AD"/>
    <w:rsid w:val="00AC059E"/>
    <w:rsid w:val="00AC40C8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332B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3882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62F3D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3893"/>
    <w:rsid w:val="00CC4AF0"/>
    <w:rsid w:val="00CD0471"/>
    <w:rsid w:val="00CE3C60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2D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8CD"/>
    <w:rsid w:val="00D82E0B"/>
    <w:rsid w:val="00D851F1"/>
    <w:rsid w:val="00D85B1A"/>
    <w:rsid w:val="00D86348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6975"/>
    <w:rsid w:val="00E47B2D"/>
    <w:rsid w:val="00E51FEA"/>
    <w:rsid w:val="00E5597E"/>
    <w:rsid w:val="00E62574"/>
    <w:rsid w:val="00E74E26"/>
    <w:rsid w:val="00E76AA4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E651E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2B0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solidFill>
          <a:srgbClr val="FFFF00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6658276581532E-2"/>
          <c:y val="2.9827624852678539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#,##0.0">
                  <c:v>83215.5</c:v>
                </c:pt>
                <c:pt idx="3" formatCode="#,##0.0">
                  <c:v>85409.4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#,##0.0">
                  <c:v>77382.600000000006</c:v>
                </c:pt>
                <c:pt idx="3" formatCode="#,##0.0">
                  <c:v>80424.800000000003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12326912"/>
        <c:axId val="112443392"/>
        <c:axId val="112294528"/>
      </c:bar3DChart>
      <c:catAx>
        <c:axId val="112326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12443392"/>
        <c:crosses val="autoZero"/>
        <c:auto val="1"/>
        <c:lblAlgn val="ctr"/>
        <c:lblOffset val="100"/>
        <c:noMultiLvlLbl val="0"/>
      </c:catAx>
      <c:valAx>
        <c:axId val="11244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2326912"/>
        <c:crosses val="autoZero"/>
        <c:crossBetween val="between"/>
      </c:valAx>
      <c:serAx>
        <c:axId val="112294528"/>
        <c:scaling>
          <c:orientation val="minMax"/>
        </c:scaling>
        <c:delete val="1"/>
        <c:axPos val="b"/>
        <c:majorTickMark val="none"/>
        <c:minorTickMark val="none"/>
        <c:tickLblPos val="nextTo"/>
        <c:crossAx val="112443392"/>
        <c:crosses val="autoZero"/>
      </c:serAx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2023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5905511811024"/>
          <c:y val="0.1256151429117541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на нефтепродукты
81,44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658886389201351E-2"/>
                  <c:y val="0.177784459891003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
7,07 %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804305711786027"/>
                  <c:y val="4.9927739938369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6,86%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440194975628048E-2"/>
                  <c:y val="-3.25121326974447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муниципальной собственности
0,73%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29042729033870768"/>
                  <c:y val="-4.82166916080427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неналоговые доходы
0,39%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494.6</c:v>
                </c:pt>
                <c:pt idx="1">
                  <c:v>11483.3</c:v>
                </c:pt>
                <c:pt idx="3">
                  <c:v>997.6</c:v>
                </c:pt>
                <c:pt idx="4">
                  <c:v>967.5</c:v>
                </c:pt>
                <c:pt idx="5">
                  <c:v>102.9</c:v>
                </c:pt>
                <c:pt idx="6">
                  <c:v>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2023 год</a:t>
            </a:r>
          </a:p>
        </c:rich>
      </c:tx>
      <c:layout>
        <c:manualLayout>
          <c:xMode val="edge"/>
          <c:yMode val="edge"/>
          <c:x val="1.2127454568774848E-2"/>
          <c:y val="0"/>
        </c:manualLayout>
      </c:layout>
      <c:overlay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85021851410408E-2"/>
          <c:y val="0.22635044870888146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6.5783381666087923E-2"/>
                  <c:y val="0.10361619281122794"/>
                </c:manualLayout>
              </c:layout>
              <c:tx>
                <c:rich>
                  <a:bodyPr/>
                  <a:lstStyle/>
                  <a:p>
                    <a:pPr>
                      <a:defRPr sz="1300" b="1" baseline="0">
                        <a:solidFill>
                          <a:schemeClr val="accent6">
                            <a:lumMod val="75000"/>
                          </a:schemeClr>
                        </a:solidFill>
                      </a:defRPr>
                    </a:pPr>
                    <a:r>
                      <a:rPr lang="ru-RU"/>
                      <a:t>дотации
10,30%</a:t>
                    </a:r>
                  </a:p>
                </c:rich>
              </c:tx>
              <c:numFmt formatCode="0.00%" sourceLinked="0"/>
              <c:spPr>
                <a:solidFill>
                  <a:srgbClr val="FFFF00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88749886597906"/>
                  <c:y val="0.37274014962201579"/>
                </c:manualLayout>
              </c:layout>
              <c:numFmt formatCode="0.00%" sourceLinked="0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668193293478363"/>
                  <c:y val="0.44100715891052539"/>
                </c:manualLayout>
              </c:layout>
              <c:tx>
                <c:rich>
                  <a:bodyPr/>
                  <a:lstStyle/>
                  <a:p>
                    <a:pPr>
                      <a:defRPr sz="1300" b="1" baseline="0">
                        <a:solidFill>
                          <a:schemeClr val="accent6">
                            <a:lumMod val="75000"/>
                          </a:schemeClr>
                        </a:solidFill>
                      </a:defRPr>
                    </a:pPr>
                    <a:r>
                      <a:rPr lang="ru-RU"/>
                      <a:t>межбюджетные трансферты, передаваемые бюджетам сельских поселений
6,19 %</a:t>
                    </a:r>
                  </a:p>
                </c:rich>
              </c:tx>
              <c:numFmt formatCode="0.00%" sourceLinked="0"/>
              <c:spPr>
                <a:solidFill>
                  <a:srgbClr val="FFFF00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300" b="1" baseline="0">
                        <a:solidFill>
                          <a:schemeClr val="accent6">
                            <a:lumMod val="75000"/>
                          </a:schemeClr>
                        </a:solidFill>
                      </a:defRPr>
                    </a:pPr>
                    <a:r>
                      <a:rPr lang="ru-RU"/>
                      <a:t>прочие межбюджетные трансферты
81,01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numFmt formatCode="0.00%" sourceLinked="0"/>
              <c:spPr>
                <a:solidFill>
                  <a:srgbClr val="FFFF00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35657575729136359"/>
                  <c:y val="0.15332681094503905"/>
                </c:manualLayout>
              </c:layout>
              <c:tx>
                <c:rich>
                  <a:bodyPr/>
                  <a:lstStyle/>
                  <a:p>
                    <a:pPr>
                      <a:defRPr sz="1300" b="1" baseline="0">
                        <a:solidFill>
                          <a:schemeClr val="accent6">
                            <a:lumMod val="75000"/>
                          </a:schemeClr>
                        </a:solidFill>
                      </a:defRPr>
                    </a:pPr>
                    <a:r>
                      <a:rPr lang="ru-RU"/>
                      <a:t>Возврат прочих остатков субсидий субвенций и иных межбюджетных трансфертов
-0,16%</a:t>
                    </a:r>
                  </a:p>
                </c:rich>
              </c:tx>
              <c:numFmt formatCode="0.00%" sourceLinked="0"/>
              <c:spPr>
                <a:solidFill>
                  <a:srgbClr val="FFFF00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246284321730343E-2"/>
                  <c:y val="5.1006648121080675E-2"/>
                </c:manualLayout>
              </c:layout>
              <c:numFmt formatCode="0.00%" sourceLinked="0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47643754751156703"/>
                  <c:y val="1.8712574850299401E-3"/>
                </c:manualLayout>
              </c:layout>
              <c:numFmt formatCode="0.00%" sourceLinked="0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5536621837645741"/>
                  <c:y val="0.32633374982318825"/>
                </c:manualLayout>
              </c:layout>
              <c:numFmt formatCode="0.00%" sourceLinked="0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numFmt formatCode="0.00%" sourceLinked="0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Возврат прочих остатков субсидий субвенций и иных межбюджетных трансфертов</c:v>
                </c:pt>
                <c:pt idx="5">
                  <c:v>субсидии на поддержку отрасли культуры</c:v>
                </c:pt>
                <c:pt idx="6">
                  <c:v>дотации бюджетам сельских поселений за достижение показателей деят-ти ОМС</c:v>
                </c:pt>
                <c:pt idx="7">
                  <c:v>субсидии на подготовку проектов межевания земельных участков</c:v>
                </c:pt>
                <c:pt idx="8">
                  <c:v>прочие субсидии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7347</c:v>
                </c:pt>
                <c:pt idx="1">
                  <c:v>336.8</c:v>
                </c:pt>
                <c:pt idx="2">
                  <c:v>4413.2</c:v>
                </c:pt>
                <c:pt idx="3">
                  <c:v>57768.3</c:v>
                </c:pt>
                <c:pt idx="4">
                  <c:v>-122.1</c:v>
                </c:pt>
                <c:pt idx="5">
                  <c:v>70.900000000000006</c:v>
                </c:pt>
                <c:pt idx="6">
                  <c:v>60.6</c:v>
                </c:pt>
                <c:pt idx="7">
                  <c:v>55.8</c:v>
                </c:pt>
                <c:pt idx="8">
                  <c:v>1378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13943.1</c:v>
                </c:pt>
                <c:pt idx="1">
                  <c:v>157.80000000000001</c:v>
                </c:pt>
                <c:pt idx="2">
                  <c:v>71308.5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13998.4</c:v>
                </c:pt>
                <c:pt idx="1">
                  <c:v>169.5</c:v>
                </c:pt>
                <c:pt idx="2">
                  <c:v>69047.600000000006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5835648"/>
        <c:axId val="115837184"/>
        <c:axId val="0"/>
      </c:bar3DChart>
      <c:catAx>
        <c:axId val="1158356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5837184"/>
        <c:crosses val="autoZero"/>
        <c:auto val="1"/>
        <c:lblAlgn val="ctr"/>
        <c:lblOffset val="100"/>
        <c:noMultiLvlLbl val="0"/>
      </c:catAx>
      <c:valAx>
        <c:axId val="11583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83564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52808205247406E-2"/>
          <c:y val="5.517499612959903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2060"/>
                        </a:solidFill>
                      </a:rPr>
                      <a:t>ОБЩЕГОСУДАРСТВЕННЫЕ ВОПРОСЫ
17,91%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9428189557486129E-2"/>
                  <c:y val="-0.230592009332166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4570225823223E-4"/>
                  <c:y val="-0.11976964813554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3150452660808703"/>
                  <c:y val="-4.37990775844377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14405.8</c:v>
                </c:pt>
                <c:pt idx="1">
                  <c:v>336.4</c:v>
                </c:pt>
                <c:pt idx="2">
                  <c:v>3016.3</c:v>
                </c:pt>
                <c:pt idx="3">
                  <c:v>11922.3</c:v>
                </c:pt>
                <c:pt idx="4">
                  <c:v>14762.5</c:v>
                </c:pt>
                <c:pt idx="5">
                  <c:v>2942</c:v>
                </c:pt>
                <c:pt idx="6">
                  <c:v>14</c:v>
                </c:pt>
                <c:pt idx="7">
                  <c:v>32469.8</c:v>
                </c:pt>
                <c:pt idx="8">
                  <c:v>11</c:v>
                </c:pt>
                <c:pt idx="9">
                  <c:v>500.6</c:v>
                </c:pt>
                <c:pt idx="10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ln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85464974772894E-2"/>
          <c:y val="8.3833280839895011E-2"/>
          <c:w val="0.82905196061018693"/>
          <c:h val="0.81633343832020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1.887895523476232E-2"/>
                  <c:y val="5.830058044774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248660323709536E-2"/>
                  <c:y val="-5.02249401565921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rgbClr val="FFFF00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Лист1!$A$2:$A$15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13844.1</c:v>
                </c:pt>
                <c:pt idx="1">
                  <c:v>313.2</c:v>
                </c:pt>
                <c:pt idx="2">
                  <c:v>7846.9</c:v>
                </c:pt>
                <c:pt idx="3">
                  <c:v>15305.1</c:v>
                </c:pt>
                <c:pt idx="4">
                  <c:v>7044.9</c:v>
                </c:pt>
                <c:pt idx="5">
                  <c:v>1066</c:v>
                </c:pt>
                <c:pt idx="6">
                  <c:v>14</c:v>
                </c:pt>
                <c:pt idx="7">
                  <c:v>31227.200000000001</c:v>
                </c:pt>
                <c:pt idx="8">
                  <c:v>11</c:v>
                </c:pt>
                <c:pt idx="9">
                  <c:v>677.3</c:v>
                </c:pt>
                <c:pt idx="10">
                  <c:v>32.799999999999997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14405.8</c:v>
                </c:pt>
                <c:pt idx="1">
                  <c:v>32469.8</c:v>
                </c:pt>
                <c:pt idx="2">
                  <c:v>14762.5</c:v>
                </c:pt>
                <c:pt idx="3">
                  <c:v>11922.3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13844.1</c:v>
                </c:pt>
                <c:pt idx="1">
                  <c:v>31227.200000000001</c:v>
                </c:pt>
                <c:pt idx="2" formatCode="General">
                  <c:v>7044.9</c:v>
                </c:pt>
                <c:pt idx="3" formatCode="General">
                  <c:v>15305.1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032256"/>
        <c:axId val="116033792"/>
      </c:barChart>
      <c:catAx>
        <c:axId val="1160322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6033792"/>
        <c:crosses val="autoZero"/>
        <c:auto val="1"/>
        <c:lblAlgn val="ctr"/>
        <c:lblOffset val="100"/>
        <c:noMultiLvlLbl val="0"/>
      </c:catAx>
      <c:valAx>
        <c:axId val="116033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60322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0.15357</cdr:x>
      <cdr:y>0.39698</cdr:y>
    </cdr:from>
    <cdr:to>
      <cdr:x>0.27143</cdr:x>
      <cdr:y>0.44405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982982" y="3406140"/>
          <a:ext cx="754378" cy="4038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0.68929</cdr:x>
      <cdr:y>0.14742</cdr:y>
    </cdr:from>
    <cdr:to>
      <cdr:x>0.87024</cdr:x>
      <cdr:y>0.27709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411983" y="1264878"/>
          <a:ext cx="1158225" cy="111258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solidFill>
                <a:schemeClr val="accent6">
                  <a:lumMod val="75000"/>
                </a:schemeClr>
              </a:solidFill>
            </a:rPr>
            <a:t>налог на доходы </a:t>
          </a:r>
          <a:r>
            <a:rPr lang="ru-RU" sz="1300" b="1" baseline="0">
              <a:solidFill>
                <a:schemeClr val="accent6">
                  <a:lumMod val="75000"/>
                </a:schemeClr>
              </a:solidFill>
            </a:rPr>
            <a:t>физических</a:t>
          </a:r>
          <a:r>
            <a:rPr lang="ru-RU" sz="1300" b="1">
              <a:solidFill>
                <a:schemeClr val="accent6">
                  <a:lumMod val="75000"/>
                </a:schemeClr>
              </a:solidFill>
            </a:rPr>
            <a:t> лиц                             3,51 %</a:t>
          </a:r>
        </a:p>
      </cdr:txBody>
    </cdr:sp>
  </cdr:relSizeAnchor>
  <cdr:relSizeAnchor xmlns:cdr="http://schemas.openxmlformats.org/drawingml/2006/chartDrawing">
    <cdr:from>
      <cdr:x>0.54167</cdr:x>
      <cdr:y>0.27709</cdr:y>
    </cdr:from>
    <cdr:to>
      <cdr:x>0.78095</cdr:x>
      <cdr:y>0.34369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>
          <a:off x="3467100" y="2377440"/>
          <a:ext cx="1531620" cy="5715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0.19905</cdr:x>
      <cdr:y>0.28742</cdr:y>
    </cdr:from>
    <cdr:to>
      <cdr:x>0.45173</cdr:x>
      <cdr:y>0.36676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272538" y="1463030"/>
          <a:ext cx="1615429" cy="40385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0.64243</cdr:x>
      <cdr:y>0.41168</cdr:y>
    </cdr:from>
    <cdr:to>
      <cdr:x>0.66031</cdr:x>
      <cdr:y>0.59281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4107180" y="2095500"/>
          <a:ext cx="114300" cy="92202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0.67819</cdr:x>
      <cdr:y>0.33982</cdr:y>
    </cdr:from>
    <cdr:to>
      <cdr:x>0.83433</cdr:x>
      <cdr:y>0.60928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4335780" y="1729740"/>
          <a:ext cx="998220" cy="1371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75AF-624A-4711-A48B-4809BE1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64</cp:revision>
  <cp:lastPrinted>2019-10-28T07:35:00Z</cp:lastPrinted>
  <dcterms:created xsi:type="dcterms:W3CDTF">2019-10-25T11:36:00Z</dcterms:created>
  <dcterms:modified xsi:type="dcterms:W3CDTF">2024-02-09T11:12:00Z</dcterms:modified>
</cp:coreProperties>
</file>