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Технологическая схема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по предоставлению муниципальной услуги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«</w:t>
      </w:r>
      <w:r>
        <w:rPr>
          <w:rFonts w:ascii="Liberation Serif" w:hAnsi="Liberation Serif"/>
          <w:sz w:val="20"/>
          <w:szCs w:val="20"/>
          <w:shd w:fill="FFFFFF" w:val="clear"/>
        </w:rPr>
        <w:t>Присвоение адреса объекту адресации, изменение и аннулирование такого адреса</w:t>
      </w:r>
      <w:r>
        <w:rPr>
          <w:rFonts w:ascii="Liberation Serif" w:hAnsi="Liberation Serif"/>
          <w:sz w:val="20"/>
          <w:szCs w:val="20"/>
        </w:rPr>
        <w:t>»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suppressAutoHyphens w:val="true"/>
        <w:jc w:val="center"/>
        <w:rPr>
          <w:rFonts w:ascii="Liberation Serif" w:hAnsi="Liberation Serif" w:eastAsia="SimSun" w:cs="Times New Roman"/>
          <w:kern w:val="2"/>
          <w:sz w:val="20"/>
          <w:szCs w:val="20"/>
          <w:lang w:eastAsia="hi-IN" w:bidi="hi-IN"/>
        </w:rPr>
      </w:pPr>
      <w:r>
        <w:rPr>
          <w:rFonts w:eastAsia="SimSun" w:cs="Times New Roman" w:ascii="Liberation Serif" w:hAnsi="Liberation Serif"/>
          <w:kern w:val="2"/>
          <w:sz w:val="20"/>
          <w:szCs w:val="20"/>
          <w:lang w:eastAsia="hi-IN" w:bidi="hi-IN"/>
        </w:rPr>
        <w:t>Раздел 1. Общие сведения о муниципальной услуге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3489"/>
        <w:gridCol w:w="5752"/>
      </w:tblGrid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Параметр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Значение параметра/состояние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органа, предоставляющего услугу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Слободо-Туринского муниципального района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Номер услуги в федеральном реестре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Tahoma;sans-serif;Arial" w:hAnsi="Tahoma;sans-serif;Arial"/>
                <w:b w:val="false"/>
                <w:i w:val="false"/>
                <w:caps w:val="false"/>
                <w:smallCaps w:val="false"/>
                <w:color w:val="808080"/>
                <w:spacing w:val="0"/>
                <w:kern w:val="0"/>
                <w:sz w:val="18"/>
                <w:szCs w:val="20"/>
                <w:lang w:val="ru-RU" w:eastAsia="en-US" w:bidi="ar-SA"/>
              </w:rPr>
              <w:t>6600000010000603103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Полное наименование услуги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Краткое наименование услуги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Административный регламент предоставления услуги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Административный регламент предоставления муниципальной услуги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» утвержден постановлением Администрации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от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13.12.2022 № 286-НПА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Перечень «подуслуг»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Способы оценки качества предоставления услуги</w:t>
            </w:r>
          </w:p>
        </w:tc>
        <w:tc>
          <w:tcPr>
            <w:tcW w:w="57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81" w:charSpace="4294959103"/>
        </w:sect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2. Общие сведения об услуге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1"/>
        <w:gridCol w:w="1275"/>
        <w:gridCol w:w="1276"/>
        <w:gridCol w:w="1418"/>
        <w:gridCol w:w="1700"/>
        <w:gridCol w:w="1559"/>
        <w:gridCol w:w="1277"/>
        <w:gridCol w:w="1559"/>
        <w:gridCol w:w="1275"/>
        <w:gridCol w:w="1419"/>
        <w:gridCol w:w="1273"/>
      </w:tblGrid>
      <w:tr>
        <w:trPr/>
        <w:tc>
          <w:tcPr>
            <w:tcW w:w="254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Основания отказа в предоставлении «услуги»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Основания приостановления предоставления «услуги»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приостановления предоставления услуги</w:t>
            </w:r>
          </w:p>
        </w:tc>
        <w:tc>
          <w:tcPr>
            <w:tcW w:w="4111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Плата за предоставление «услуги»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обращения за получением «услуги»</w:t>
            </w:r>
          </w:p>
        </w:tc>
        <w:tc>
          <w:tcPr>
            <w:tcW w:w="12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получения результата «услуги»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15302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 Наименование услуги  «Присвоение адреса объекту недвижимости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 рабочих дней, с момента предоставления в Администрацию заявления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 предоставлении муниципальной услуги с приложением необходимых документов, в том числе поступивших из МФЦ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 несоответствие копии представленного документа его оригиналу;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1) отсутствие необходимых документов (какого-либо из документов), указанных в </w:t>
            </w:r>
            <w:r>
              <w:fldChar w:fldCharType="begin"/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instrText> HYPERLINK "../%D0%A1%D0%AD%D0%94/%D0%90%D0%B4%D0%BC.%20%D1%80%D0%B5%D0%B3%D0%BB.%20%D0%B8%D0%B7%20%D0%BD%D0%B5%D0%B6%D0%B8%D0%BB%D0%BE%D0%B3%D0%BE%20%D0%B2%20%D0%B6%D0%B8%D0%BB%D0%BE%D0%B5.doc" \l "Par87"</w:instrText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fldChar w:fldCharType="separate"/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пункте 5.1 раздела II</w:t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fldChar w:fldCharType="end"/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2) неправильное оформление необходимых документов (какого-либо из документов), указанных в </w:t>
            </w:r>
            <w:r>
              <w:fldChar w:fldCharType="begin"/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instrText> HYPERLINK "../%D0%A1%D0%AD%D0%94/%D0%90%D0%B4%D0%BC.%20%D1%80%D0%B5%D0%B3%D0%BB.%20%D0%B8%D0%B7%20%D0%BD%D0%B5%D0%B6%D0%B8%D0%BB%D0%BE%D0%B3%D0%BE%20%D0%B2%20%D0%B6%D0%B8%D0%BB%D0%BE%D0%B5.doc" \l "Par87"</w:instrText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fldChar w:fldCharType="separate"/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пункте 5.1 раздела II</w:t>
            </w:r>
            <w:r>
              <w:rPr>
                <w:sz w:val="20"/>
                <w:kern w:val="0"/>
                <w:szCs w:val="20"/>
                <w:rFonts w:eastAsia="Calibri" w:cs="Times New Roman" w:ascii="Liberation Serif" w:hAnsi="Liberation Serif"/>
                <w:lang w:val="ru-RU" w:eastAsia="en-US" w:bidi="ar-SA"/>
              </w:rPr>
              <w:fldChar w:fldCharType="end"/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 обращение неправомочного лица.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Муниципальная услуга предоставляется бесплатно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 Лично (через представителя) в МФЦ;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 Лично (через представителя) на электронную почту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ustniza@yandex.ru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 Лично (через представителя) на портал государственных и муниципальных услуг).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5. Лично (через представителя)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через почтовую связь.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 бумажном носителе;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 Лично (представителю) через МФЦ на бумажном носителе, полученный из в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 В личном кабинете федеральной информационной адресной системы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6.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Лично (через представителя) через электронную почту в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ustniza@yandex.ru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)</w:t>
            </w:r>
            <w:bookmarkStart w:id="0" w:name="_GoBack"/>
            <w:bookmarkEnd w:id="0"/>
          </w:p>
        </w:tc>
      </w:tr>
    </w:tbl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3. Сведения о заявителях услуги.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2411"/>
        <w:gridCol w:w="2126"/>
        <w:gridCol w:w="2125"/>
        <w:gridCol w:w="1843"/>
        <w:gridCol w:w="1985"/>
        <w:gridCol w:w="1842"/>
        <w:gridCol w:w="2267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Категория лиц, имеющих право на получение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подтверждающий полномочия заявителя соответствующей категории на получение услуги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5302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 Наименование услуги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Муниципальная услуга реализуется по заявлению физических и юридических лиц или уполномоченных ими лицами, собственники помещений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Документ, удостоверяющий личность заявителя,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Есть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Подлинные документы или документы, заверенные в установленном порядке.</w:t>
            </w:r>
          </w:p>
        </w:tc>
      </w:tr>
    </w:tbl>
    <w:p>
      <w:pPr>
        <w:pStyle w:val="Normal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4. Документы, предоставляемые заявителем для получения услуги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2126"/>
        <w:gridCol w:w="2409"/>
        <w:gridCol w:w="2126"/>
        <w:gridCol w:w="1844"/>
        <w:gridCol w:w="1985"/>
        <w:gridCol w:w="1841"/>
        <w:gridCol w:w="1955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Категория документа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Условие предоставления документа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Установленные требования к документу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Форма (шаблон) документа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Образец документа/заполнения документа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4990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 Наименование услуги  «Присвоение адреса объекту недвижимости физическим лицам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Обращение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Заявление по установленной форме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Заявление - 1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Подлинник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Форма заявления установлена Приказом Министерства Финансов Российской Федерации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 11 декабря 2014 г. №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 в соответствии с административным регламентом предоставления муниципальной услуги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удостоверяющий личность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Паспорт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Паспорт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удостоверяющий полномочия представителя заявителя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Доверенность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Правоустанавливающие и (или) правоудостоверяющие документы на объект (объекты) адресации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договоры и акты приема-передачи к ним (купля-продажа, дарение, мена, приватизация и др.);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решения судов, вступившие в законную силу (в том числе мировое соглашение, утвержденное судом);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свидетельства о праве на наследство;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свидетельство о государственной регистрации права на недвижимое имущество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softHyphen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ind w:firstLine="5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Разрешение на строительство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Схема расположения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Акт приемочной комиссии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firstLine="5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Кадастровая выписка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Решение Думы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Решение Думы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990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2.Наименование услуги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Обращение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Заявление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Заявление - 1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Подлинник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Форма заявления установлена Приказом Министерства Финансов Российской Федерации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 11 декабря 2014 г. №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удостоверяющий личность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Паспорт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Паспорт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Документ, удостоверяющий полномочия представителя заявителя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Доверенность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Правоустанавливающие и (или) правоудостоверяющие документы на объект (объекты) адресации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договоры и акты приема-передачи к ним (купля-продажа, дарение, мена, приватизация и др.);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решения судов, вступившие в законную силу (в том числе мировое соглашение, утвержденное судом);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свидетельства о праве на наследство;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 свидетельство о государственной регистрации права на недвижимое имущество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Разрешение на строительство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Схема расположения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Акт приемочной комиссии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Копия-1 (делается специалистом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Кадастровая выписка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Решение Думы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 сельского поселения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 сельского поселения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Решение Думы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ar-SA" w:bidi="ar-SA"/>
              </w:rPr>
              <w:t xml:space="preserve"> сельского поселения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4"/>
        <w:gridCol w:w="1491"/>
        <w:gridCol w:w="1870"/>
        <w:gridCol w:w="1671"/>
        <w:gridCol w:w="1669"/>
        <w:gridCol w:w="1266"/>
        <w:gridCol w:w="1705"/>
        <w:gridCol w:w="1705"/>
        <w:gridCol w:w="1703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запрашиваемого документы (сведения)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органа (организации),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адрес которого(ой) направляется межведомственный запрос</w:t>
            </w:r>
          </w:p>
        </w:tc>
        <w:tc>
          <w:tcPr>
            <w:tcW w:w="12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 электронного сервиса/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вида сведений</w:t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4784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«Присвоение адреса объекту недвижимости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физическим лицам»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ab/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Кадастровая выписка об объекте недвижимости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1.Кадастровый номер 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</w:t>
              <w:tab/>
              <w:t>Номер кадастрового квартала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3.Предыдущие номера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</w:t>
              <w:tab/>
              <w:t>Дата внесения номера в государственный кадастр недвижимости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5.Кадастровые номера объектов капитального строительства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6.</w:t>
              <w:tab/>
              <w:t>Адрес (описание местоположения)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7.</w:t>
              <w:tab/>
              <w:t>Категория земель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8.Разрешенное использование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9.</w:t>
              <w:tab/>
              <w:t>Площадь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10.Кадастровая стоимость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11.</w:t>
              <w:tab/>
              <w:t>Система координат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12.</w:t>
              <w:tab/>
              <w:t>Сведения о правах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13.</w:t>
              <w:tab/>
              <w:t>Особые отметки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14.</w:t>
              <w:tab/>
              <w:t>Характер сведений государственного кадастра недвижимости (статус записи о земельном участке)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15.Дополнительные сведения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16.</w:t>
              <w:tab/>
              <w:t>Сведения о кадастровых инженерах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17.</w:t>
              <w:tab/>
              <w:t>План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18.</w:t>
              <w:tab/>
              <w:t>Масштаб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19.</w:t>
              <w:tab/>
              <w:t>Сведения о частях земельного участка и обременениях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20.</w:t>
              <w:tab/>
              <w:t>Описание местоположения границ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21.</w:t>
              <w:tab/>
              <w:t>Адреса правообладателей смежных участков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22.</w:t>
              <w:tab/>
              <w:t>Описание воротных точек границ земельного участка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Решение Думы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Дума наименование муниципального образования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образец Решения Думы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образец Решения Думы</w:t>
            </w:r>
          </w:p>
        </w:tc>
      </w:tr>
      <w:tr>
        <w:trPr/>
        <w:tc>
          <w:tcPr>
            <w:tcW w:w="14784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«</w:t>
            </w:r>
            <w:r>
              <w:rPr>
                <w:rFonts w:eastAsia="Calibri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Кадастровая выписка об объекте недвижимости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</w:t>
              <w:tab/>
              <w:t xml:space="preserve">Кадастровый номер 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</w:t>
              <w:tab/>
              <w:t>Номер кадастрового квартала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3.</w:t>
              <w:tab/>
              <w:t>Предыдущие номера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</w:t>
              <w:tab/>
              <w:t>Дата внесения номера в государственный кадастр недвижимости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</w:t>
              <w:tab/>
              <w:t>Кадастровые номера объектов капитального строительства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6.</w:t>
              <w:tab/>
              <w:t>Адрес (описание местоположения)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7.</w:t>
              <w:tab/>
              <w:t>Категория земель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8.</w:t>
              <w:tab/>
              <w:t>Разрешенное использование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9.</w:t>
              <w:tab/>
              <w:t>Площадь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10.Кадастровая стоимость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11.</w:t>
              <w:tab/>
              <w:t>Система координат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12.</w:t>
              <w:tab/>
              <w:t>Сведения о правах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13.</w:t>
              <w:tab/>
              <w:t>Особые отметки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14.</w:t>
              <w:tab/>
              <w:t>Характер сведений государственного кадастра недвижимости (статус записи о земельном участке)</w:t>
            </w:r>
          </w:p>
          <w:p>
            <w:pPr>
              <w:pStyle w:val="Normal"/>
              <w:widowControl/>
              <w:tabs>
                <w:tab w:val="clear" w:pos="708"/>
                <w:tab w:val="left" w:pos="219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15.</w:t>
              <w:tab/>
              <w:t>Дополнительные сведения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16.</w:t>
              <w:tab/>
              <w:t>Сведения о кадастровых инженерах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17.</w:t>
              <w:tab/>
              <w:t>План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18.</w:t>
              <w:tab/>
              <w:t>Масштаб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19.</w:t>
              <w:tab/>
              <w:t>Сведения о частях земельного участка и обременениях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20.</w:t>
              <w:tab/>
              <w:t>Описание местоположения границ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503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21.</w:t>
              <w:tab/>
              <w:t>Адреса правообладателей смежных участков</w:t>
            </w:r>
          </w:p>
          <w:p>
            <w:pPr>
              <w:pStyle w:val="Normal"/>
              <w:widowControl/>
              <w:tabs>
                <w:tab w:val="clear" w:pos="708"/>
                <w:tab w:val="left" w:pos="361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22.</w:t>
              <w:tab/>
              <w:t>Описание воротных точек границ земельного участка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Кадастровый паспорт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Филиал ФГБУ «ФКП Росреестра» по Свердловской области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SID0003564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Решение Думы наименование муниципального образования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Дума наименование муниципального образования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 дней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 образец Решения Думы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Приложение, содержащее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образец Решения Думы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6. Результат услуг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7"/>
        <w:gridCol w:w="2409"/>
        <w:gridCol w:w="2553"/>
        <w:gridCol w:w="1841"/>
        <w:gridCol w:w="1702"/>
        <w:gridCol w:w="1559"/>
        <w:gridCol w:w="1559"/>
        <w:gridCol w:w="1135"/>
        <w:gridCol w:w="1415"/>
      </w:tblGrid>
      <w:tr>
        <w:trPr>
          <w:trHeight w:val="803" w:hRule="atLeast"/>
        </w:trPr>
        <w:tc>
          <w:tcPr>
            <w:tcW w:w="66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416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Документ/документы являющийся(еся) результатом услуги</w:t>
            </w:r>
          </w:p>
        </w:tc>
        <w:tc>
          <w:tcPr>
            <w:tcW w:w="25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Требования к документу/документам являющемуся(ихся) результатом услуги</w:t>
            </w:r>
          </w:p>
        </w:tc>
        <w:tc>
          <w:tcPr>
            <w:tcW w:w="184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Характеристика результата услуги (положительный/</w:t>
              <w:br/>
              <w:t>отрицательный)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Форма документа/</w:t>
              <w:br/>
              <w:t>документов являющего-ся(ихся) результатом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Образец документа/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документов являющего-ся(ихся) результатом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Способы получения результата услуги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хранения невостребованных заявителем результатов услуги</w:t>
            </w:r>
          </w:p>
        </w:tc>
      </w:tr>
      <w:tr>
        <w:trPr>
          <w:trHeight w:val="802" w:hRule="atLeast"/>
        </w:trPr>
        <w:tc>
          <w:tcPr>
            <w:tcW w:w="66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16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органе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МФЦ</w:t>
            </w:r>
          </w:p>
        </w:tc>
      </w:tr>
      <w:tr>
        <w:trPr/>
        <w:tc>
          <w:tcPr>
            <w:tcW w:w="6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4848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4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Решение о </w:t>
            </w:r>
            <w:r>
              <w:rPr>
                <w:rFonts w:eastAsia="Calibri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3" w:type="dxa"/>
            <w:vMerge w:val="restart"/>
            <w:tcBorders/>
          </w:tcPr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Присвоенный объекту адресации адрес;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реквизиты и наименования документов, на основании которых принято решение о присвоении адреса;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описание местоположения объекта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>
            <w:pPr>
              <w:pStyle w:val="Normal"/>
              <w:widowControl/>
              <w:spacing w:before="0" w:after="0"/>
              <w:ind w:firstLine="5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другие необходимые сведения, определенные уполномоченным органом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Положительный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Решения о присвоение объекту адресации адреса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Решения о присвоение объекту адресации адреса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3.Лично (представителю) через МФЦ на бумажном носителе, полученный из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 В личном кабинете федеральной информационной адресной системы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сельского поселения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ustniza@yandex.ru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На основании пункта № </w:t>
            </w:r>
            <w:r>
              <w:rPr>
                <w:rFonts w:eastAsia="Calibri" w:cs="Times New Roman" w:ascii="Liberation Serif" w:hAnsi="Liberation Serif"/>
                <w:i/>
                <w:color w:val="FF0000"/>
                <w:kern w:val="0"/>
                <w:sz w:val="20"/>
                <w:szCs w:val="20"/>
                <w:lang w:val="ru-RU" w:eastAsia="en-US" w:bidi="ar-SA"/>
              </w:rPr>
              <w:softHyphen/>
              <w:softHyphen/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Административного Регламента предоставления муниципальной услуги 3 месяца</w:t>
            </w:r>
          </w:p>
        </w:tc>
        <w:tc>
          <w:tcPr>
            <w:tcW w:w="14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 месяца (по данным МФЦ</w:t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4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>
          <w:trHeight w:val="690" w:hRule="atLeast"/>
        </w:trPr>
        <w:tc>
          <w:tcPr>
            <w:tcW w:w="14848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Решение о Присвоение адреса объекту адресации, изменение и аннулирование такого адреса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Присвоенный объекту адресации адрес;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реквизиты и наименования документов, на основании которых принято решение о присвоении адреса;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описание местоположения объекта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kern w:val="0"/>
                <w:lang w:val="ru-RU"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другие необходимые сведения, определенные уполномоченным органом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Положительный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 присвоение объекту адресации адреса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 присвоение объекту адресации адреса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2.Лично (представителю)через почтовое отправление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3.Лично (представителю) через МФЦ на бумажном носителе, полученный из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 В личном кабинете федеральной информационной адресной системы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сельского поселения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ustniza@yandex.ru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На основании пункта № ¬-Административного Регламента предоставления муниципальной услуги 3 месяца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 месяца (по данным МФЦ)</w:t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Решение об аннулировании адреса объекту адресации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553" w:type="dxa"/>
            <w:tcBorders/>
          </w:tcPr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Аннулируемый адрес объекта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уникальный номер аннулируемого адреса объекта адресации в государственном адресном реестре;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причину аннулирования адреса объекта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>
            <w:pPr>
              <w:pStyle w:val="ConsPlusNonformat"/>
              <w:widowControl/>
              <w:spacing w:before="0" w:after="0"/>
              <w:rPr>
                <w:rFonts w:ascii="Liberation Serif" w:hAnsi="Liberation Serif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  <w:kern w:val="0"/>
                <w:lang w:val="ru-RU" w:bidi="ar-SA"/>
              </w:rPr>
              <w:t>другие необходимые сведения, определенные уполномоченным органом.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Положительный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об аннулировании адреса объекту адресации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об аннулировании адреса объекту адресации в виде постановления Главы администрации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Администрацию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 бумажном носителе;</w:t>
            </w:r>
          </w:p>
          <w:p>
            <w:pPr>
              <w:pStyle w:val="Normal"/>
              <w:widowControl/>
              <w:tabs>
                <w:tab w:val="clear" w:pos="708"/>
                <w:tab w:val="left" w:pos="146" w:leader="none"/>
                <w:tab w:val="left" w:pos="288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 В личном кабинете федеральной информационной адресной системы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сельского поселения 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ustniza@yandex.ru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 месяца (по данным МФЦ)</w:t>
            </w:r>
          </w:p>
        </w:tc>
      </w:tr>
      <w:tr>
        <w:trPr>
          <w:trHeight w:val="690" w:hRule="atLeast"/>
        </w:trPr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 11.12.2014 № 146н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Отрицательный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форму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 11.12.2014 № 146н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Приложение, содержащее образец </w:t>
            </w:r>
            <w:r>
              <w:rPr>
                <w:rFonts w:eastAsia="Calibri" w:cs="Times New Roman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 xml:space="preserve">решения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1. Лично (через представителя) в 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на бумажном носителе;</w:t>
            </w:r>
          </w:p>
          <w:p>
            <w:pPr>
              <w:pStyle w:val="Normal"/>
              <w:widowControl/>
              <w:tabs>
                <w:tab w:val="clear" w:pos="708"/>
                <w:tab w:val="left" w:pos="317" w:leader="none"/>
              </w:tabs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3.Лично (представителю) через МФЦ на бумажном носителе, полученный из Администрации 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 месяца (по данным МФЦ)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7. Технологические процессы предоставление услуги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865"/>
        <w:gridCol w:w="3266"/>
        <w:gridCol w:w="2342"/>
        <w:gridCol w:w="2322"/>
        <w:gridCol w:w="2614"/>
        <w:gridCol w:w="1900"/>
      </w:tblGrid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исполнения процедуры (процесса)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Наименование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ListParagraph"/>
              <w:widowControl/>
              <w:spacing w:before="0" w:after="0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ind w:left="7" w:hanging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ind w:firstLine="5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или в письменной форме в МФЦ;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Специалист, в обязанности которого входит прием документов:</w:t>
            </w:r>
          </w:p>
          <w:p>
            <w:pPr>
              <w:pStyle w:val="Normal"/>
              <w:widowControl/>
              <w:tabs>
                <w:tab w:val="clear" w:pos="708"/>
                <w:tab w:val="left" w:pos="100" w:leader="none"/>
                <w:tab w:val="left" w:pos="383" w:leader="none"/>
              </w:tabs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3)сличает представленные экземпляры оригиналов и копий документов;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5)сообщает заявителю номер и дату регистрации заявления;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и прилагаемых к нему документов в 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производится в системе электронного документооборота и делопроизводства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Дата регистрации Заявления в системе электронного документооборота и делопроизводства 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является датой начала срока предоставления муниципальной услуги.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и обратно не входят в общий срок предоставления муниципальной услуги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компьютер, Многофункциональное устройство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(834361) 2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45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 сельское поселение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u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stniza@yahdex.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ru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доступ к информационным и справочно-правовым системам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>Информацию заявитель может получить в МФЦ;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можно получить на официальном сайте МФЦ (</w:t>
            </w:r>
            <w:hyperlink r:id="rId2">
              <w:r>
                <w:rPr>
                  <w:rFonts w:eastAsia="ヒラギノ角ゴ Pro W3" w:cs="Times New Roman" w:ascii="Liberation Serif" w:hAnsi="Liberation Serif"/>
                  <w:kern w:val="2"/>
                  <w:sz w:val="20"/>
                  <w:szCs w:val="20"/>
                  <w:lang w:val="ru-RU" w:eastAsia="en-US" w:bidi="hi-IN"/>
                </w:rPr>
                <w:t>http://www.mfc66.ru/</w:t>
              </w:r>
            </w:hyperlink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; 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Приложение №1</w:t>
            </w:r>
          </w:p>
        </w:tc>
      </w:tr>
      <w:tr>
        <w:trPr>
          <w:trHeight w:val="864" w:hRule="atLeast"/>
        </w:trPr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Специалист многофункционального центра: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i/>
                <w:kern w:val="0"/>
                <w:sz w:val="20"/>
                <w:szCs w:val="20"/>
                <w:lang w:val="ru-RU" w:eastAsia="en-US" w:bidi="ar-SA"/>
              </w:rPr>
              <w:tab/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МФЦ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Автоматизированное рабочее место (ПК, принтер, сканер, сеть интернет, телефонная связь,)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>
          <w:trHeight w:val="864" w:hRule="atLeast"/>
        </w:trPr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Определение возможности присвоения объекту адресации адреса или аннулирование его адреса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2)Определение возможности присвоения объекту адресации адреса или аннулирование его адреса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Calibri" w:ascii="Liberation Serif" w:hAnsi="Liberation Serif"/>
                <w:color w:val="FF0000"/>
                <w:kern w:val="0"/>
                <w:sz w:val="20"/>
                <w:szCs w:val="20"/>
                <w:lang w:val="ru-RU" w:eastAsia="en-US" w:bidi="ar-SA"/>
              </w:rPr>
              <w:t> 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обязанности которого, в соответствии с должностной инструкцией, входит выполнение соответствующих функций.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Calibri" w:ascii="Liberation Serif" w:hAnsi="Liberation Serif"/>
                <w:i/>
                <w:color w:val="FF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направляет межведомственные запросы в органы, указанные административном регламенте предоставления муниципальной услуги.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Необходимые документы или сведения предоставляются в течение 5 рабочих дней в администрацию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 аннулирования адресов».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8(34361)24-3-97;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highlight w:val="yellow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поселени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доступ к информационным и справочно-правовым системам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 Принятие решения, подготовка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3)Принятие решения, подготовка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 отсутствии оснований для отказа в предоставлении муниципальной услуги специалист готовит проект постановления Главы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 о присвоении объекту адресации адреса или об аннулировании его адреса в 3 (трех) экземплярах.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течение 3 дней Глава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подписывает решение об отказе и направляет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для выдачи Заявителю.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Подготовленный проект постановления Главы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о присвоении объекту адресации адреса или об аннулировании его адреса (далее – Проект) передается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 согласование с: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 Специалистом;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2) заместителем Главы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3)юридическим отделом Администрации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 Выдача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4)Выдача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заверенных копий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Заверенная копия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отдела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Факт получения заверенной копии постановления Главы администрации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bCs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сельского поселения о присвоении объекту адресации адреса или об аннулировании его адреса на экземпляре подписью и расшифровкой подписи лица, датой получения документа лицом, получившим документ.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Письмо об отказе в присвоении объекту адресации адреса или об аннулировании его адреса выдается в одном экземпляре.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Администрации подписью и расшифровкой подписи лица, датой получения документа лицом, получившим документ.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Специалист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8(34361)24-3-97);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сельское поселение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u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stniza@yandex.</w:t>
            </w:r>
            <w:r>
              <w:rPr>
                <w:rStyle w:val="Style16"/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ru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5. Наименование 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5) прием, регистрация заявления и документов, необходимых для предоставления муниципальной услуги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уполномоченный отдел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или в письменной форме в МФЦ;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МФЦ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Специалист, в обязанности которого входит прием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1) проверяет наличие всех необходимых документов, в соответствии с перечнем, установленным в административном регламенте предоставления муниципальной услуги;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2)проверяет соответствие представленных документов требованиям, установленным в административном регламенте предоставления муниципальной услуги;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3)сличает представленные экземпляры оригиналов и копий документов;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5) сообщает заявителю номер и дату регистрации заявления;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Если прием осуществляется специалистом МФЦ, то он кроме функций, указанных в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и прилагаемых к нему документов в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производится в системе электронного документооборота и делопроизводства отдела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8(34361)24-3-97);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Style w:val="Style16"/>
                <w:rFonts w:eastAsia="Calibri" w:cs="Times New Roman" w:ascii="Liberation Serif" w:hAnsi="Liberation Serif"/>
                <w:color w:val="0000FF" w:themeColor="hyperlink"/>
                <w:kern w:val="0"/>
                <w:sz w:val="20"/>
                <w:szCs w:val="20"/>
                <w:u w:val="single"/>
                <w:lang w:val="en-US" w:eastAsia="en-US" w:bidi="ar-SA"/>
              </w:rPr>
              <w:t>ustniza@yandex.ru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доступ к информационным  и справочно- правовым системам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>Информацию заявитель может получить в МФЦ;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можно получить на официальном сайте МФЦ (</w:t>
            </w:r>
            <w:hyperlink r:id="rId3">
              <w:r>
                <w:rPr>
                  <w:rFonts w:eastAsia="ヒラギノ角ゴ Pro W3" w:cs="Times New Roman" w:ascii="Liberation Serif" w:hAnsi="Liberation Serif"/>
                  <w:kern w:val="2"/>
                  <w:sz w:val="20"/>
                  <w:szCs w:val="20"/>
                  <w:lang w:val="ru-RU" w:eastAsia="en-US" w:bidi="hi-IN"/>
                </w:rPr>
                <w:t>http://www.mfc66.ru/</w:t>
              </w:r>
            </w:hyperlink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>
          <w:trHeight w:val="185" w:hRule="atLeast"/>
        </w:trPr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Определение возможности присвоения объекту адресации адреса или аннулирование его адреса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2) Определение возможности присвоения объекту адресации адреса или аннулирование его адреса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поселения, в обязанности которого, в соответствии с должностной инструкцией, входит выполнение соответствующих функций.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 установлении факта отсутствия необходимых документов, указанных в административном регламенте предоставления муниципальной услуги, специалист Отдела направляет межведомственные запросы в органы, указанные в административном регламенте предоставления муниципальной услуги.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Необходимые документы или сведения предоставляются в течение 5 рабочих дней в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8(34361) 24-3-97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hyperlink r:id="rId4">
              <w:r>
                <w:rPr>
                  <w:rFonts w:eastAsia="Calibri" w:cs="Times New Roman" w:ascii="Liberation Serif" w:hAnsi="Liberation Serif"/>
                  <w:color w:val="0000FF" w:themeColor="hyperlink"/>
                  <w:kern w:val="0"/>
                  <w:sz w:val="20"/>
                  <w:szCs w:val="20"/>
                  <w:u w:val="single"/>
                  <w:lang w:val="en-US" w:eastAsia="en-US" w:bidi="ar-SA"/>
                </w:rPr>
                <w:t>u</w:t>
              </w:r>
            </w:hyperlink>
            <w:r>
              <w:rPr>
                <w:rStyle w:val="Style16"/>
                <w:rFonts w:eastAsia="Calibri" w:cs="Times New Roman" w:ascii="Liberation Serif" w:hAnsi="Liberation Serif"/>
                <w:color w:val="0000FF" w:themeColor="hyperlink"/>
                <w:kern w:val="0"/>
                <w:sz w:val="20"/>
                <w:szCs w:val="20"/>
                <w:u w:val="single"/>
                <w:lang w:val="en-US" w:eastAsia="en-US" w:bidi="ar-SA"/>
              </w:rPr>
              <w:t>stniza@yandex.ru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доступ к информационным и справочно- правовым системам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 Принятие решения, подготовка результата муниципальной услуги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3)Принятие решения, подготовка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Административного регламента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 отсутствии оснований для отказа в предоставлении муниципальной услуги специалист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готовит проект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течение 3 дней Глава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подписывает решение об отказе и направляет в уполномоченный отдел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для выдачи Заявителю.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Подготовленный проект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 согласование с: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1специалист 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2) заместителем Главы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3) юридическим отделом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>
              <w:rPr>
                <w:rFonts w:eastAsia="Arial Unicode MS" w:cs="Times New Roman" w:ascii="Liberation Serif" w:hAnsi="Liberation Serif"/>
                <w:kern w:val="2"/>
                <w:sz w:val="20"/>
                <w:szCs w:val="20"/>
                <w:lang w:val="ru-RU"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 xml:space="preserve">Усть-Ницинского </w:t>
            </w:r>
            <w:r>
              <w:rPr>
                <w:rFonts w:eastAsia="ヒラギノ角ゴ Pro W3" w:cs="Times New Roman" w:ascii="Liberation Serif" w:hAnsi="Liberation Serif"/>
                <w:kern w:val="2"/>
                <w:sz w:val="20"/>
                <w:szCs w:val="20"/>
                <w:lang w:val="ru-RU" w:eastAsia="en-US" w:bidi="hi-IN"/>
              </w:rPr>
              <w:t>сельского поселения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4849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 Выдача результата муниципальной услуги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4) Выдача результата муниципальной услуги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заверенных копий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Заверенная копия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Факт получения заверенной копии постановления Главы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о присвоении объекту адресации адреса или об аннулировании его адреса на экземпляре администрации </w:t>
            </w:r>
            <w:r>
              <w:rPr>
                <w:rStyle w:val="Style17"/>
                <w:rFonts w:eastAsia="Calibri" w:cs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подписью и расшифровкой подписи лица, датой получения документа лицом, получившим документ.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Письмо об отказе в присвоении объекту адресации адреса или об аннулировании его адреса выдается в одном экземпляре.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Style17"/>
                <w:rFonts w:ascii="Liberation Serif" w:hAnsi="Liberation Serif"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администрации </w:t>
            </w:r>
            <w:r>
              <w:rPr>
                <w:rStyle w:val="Style17"/>
                <w:rFonts w:eastAsia="Calibri" w:cs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подписью и расшифровкой подписи лица, датой получения документа лицом, получившим документ.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Style17"/>
                <w:rFonts w:eastAsia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Специалист </w:t>
            </w:r>
            <w:r>
              <w:rPr>
                <w:rStyle w:val="Style17"/>
                <w:rFonts w:eastAsia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администрации </w:t>
            </w:r>
            <w:r>
              <w:rPr>
                <w:rStyle w:val="Style17"/>
                <w:rFonts w:eastAsia="Calibri" w:cs="Calibri" w:ascii="Liberation Serif" w:hAnsi="Liberation Serif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Телефон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8(34361)2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45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сельское поселение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90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8. Особенности предоставления услуги в электронной форме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Style w:val="a4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7"/>
        <w:gridCol w:w="1864"/>
        <w:gridCol w:w="1857"/>
        <w:gridCol w:w="2119"/>
        <w:gridCol w:w="2169"/>
        <w:gridCol w:w="2677"/>
        <w:gridCol w:w="1770"/>
      </w:tblGrid>
      <w:tr>
        <w:trPr/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формирования запроса о предоставлении услуги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приема и регистрации органом, предоставляющим услугу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получения сведения о ходе выполнения запроса о предоставлении услуги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>
        <w:trPr>
          <w:trHeight w:val="241" w:hRule="atLeast"/>
        </w:trPr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1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7. Наименование «</w:t>
            </w: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 информационно-телекоммуникационной сети «Интернет» (далее – сеть «Интернет»):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.рф 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Официальный сайт МФЦ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Адрес электронной почты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ЕПГУ</w:t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МФЦ: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1.Официальный сайт: 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mfc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66.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2.Через электронный терминал  в офисах МФЦ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Усть-Ницинского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сельского поселения в информационно-телекоммуникационной сети «Интернет» (далее – сеть «Интернет»):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.рф;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сельское поселение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.ru;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Администрации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(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.рф)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 электронной почте: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Усть-Ницинское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сельское поселение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ustniza@yandex.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официальный сайт МФЦ</w:t>
            </w:r>
          </w:p>
        </w:tc>
      </w:tr>
      <w:tr>
        <w:trPr/>
        <w:tc>
          <w:tcPr>
            <w:tcW w:w="151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8. Наименование «</w:t>
            </w:r>
            <w:r>
              <w:rPr>
                <w:rFonts w:eastAsia="Calibri" w:ascii="Liberation Serif" w:hAnsi="Liberation Serif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Администрации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en-US" w:eastAsia="en-US" w:bidi="ar-SA"/>
              </w:rPr>
              <w:t>У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Адрес электронной почты.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официальный сайт МФЦ</w:t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МФЦ: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1.Официальный сайт: 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mfc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66.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ru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2.Через электронный терминал  в офисах МФЦ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67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Администрации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Адрес электронной почты.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        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Администрации </w:t>
            </w:r>
            <w:r>
              <w:rPr>
                <w:rFonts w:eastAsia="Calibri" w:cs="Calibri" w:ascii="Liberation Serif" w:hAnsi="Liberation Serif"/>
                <w:i/>
                <w:color w:val="FF0000"/>
                <w:kern w:val="0"/>
                <w:sz w:val="20"/>
                <w:szCs w:val="20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i/>
                <w:color w:val="FF0000"/>
                <w:kern w:val="0"/>
                <w:sz w:val="20"/>
                <w:szCs w:val="20"/>
                <w:u w:val="single"/>
                <w:lang w:val="ru-RU" w:eastAsia="en-US" w:bidi="ar-SA"/>
              </w:rPr>
              <w:t>Усть-Ницинского</w:t>
            </w:r>
            <w:r>
              <w:rPr>
                <w:rFonts w:eastAsia="Calibri" w:cs="Calibri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усть-ницинское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.рф;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 электронной почте: </w:t>
            </w:r>
            <w:hyperlink r:id="rId5">
              <w:r>
                <w:rPr>
                  <w:rFonts w:eastAsia="Calibri" w:cs="Times New Roman" w:ascii="Liberation Serif" w:hAnsi="Liberation Serif"/>
                  <w:color w:val="0000FF" w:themeColor="hyperlink"/>
                  <w:kern w:val="0"/>
                  <w:sz w:val="20"/>
                  <w:szCs w:val="20"/>
                  <w:u w:val="single"/>
                  <w:lang w:val="en-US" w:eastAsia="en-US" w:bidi="ar-SA"/>
                </w:rPr>
                <w:t>u</w:t>
              </w:r>
            </w:hyperlink>
            <w:r>
              <w:rPr>
                <w:rStyle w:val="Style16"/>
                <w:rFonts w:eastAsia="Calibri" w:cs="Times New Roman" w:ascii="Liberation Serif" w:hAnsi="Liberation Serif"/>
                <w:color w:val="0000FF" w:themeColor="hyperlink"/>
                <w:kern w:val="0"/>
                <w:sz w:val="20"/>
                <w:szCs w:val="20"/>
                <w:u w:val="single"/>
                <w:lang w:val="en-US" w:eastAsia="en-US" w:bidi="ar-SA"/>
              </w:rPr>
              <w:t>stniza@yandex.ru</w:t>
            </w: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официальный сайт МФЦ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1"/>
        <w:rPr>
          <w:rFonts w:ascii="Liberation Serif" w:hAnsi="Liberation Serif" w:eastAsia="Calibri" w:cs="Times New Roman"/>
          <w:sz w:val="20"/>
          <w:szCs w:val="20"/>
        </w:rPr>
      </w:pPr>
      <w:r>
        <w:rPr/>
      </w:r>
    </w:p>
    <w:sectPr>
      <w:headerReference w:type="default" r:id="rId6"/>
      <w:type w:val="nextPage"/>
      <w:pgSz w:orient="landscape" w:w="16838" w:h="11906"/>
      <w:pgMar w:left="1134" w:right="1134" w:gutter="0" w:header="709" w:top="1418" w:footer="0" w:bottom="567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Номера страниц (вверху страницы)"/>
        <w:docPartUnique w:val="true"/>
      </w:docPartObj>
      <w:id w:val="833466870"/>
    </w:sdtPr>
    <w:sdtContent>
      <w:p>
        <w:pPr>
          <w:pStyle w:val="Style24"/>
          <w:jc w:val="center"/>
          <w:rPr>
            <w:rFonts w:ascii="Liberation Serif" w:hAnsi="Liberation Serif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ascii="Liberation Serif" w:hAnsi="Liberation Serif"/>
          </w:rPr>
          <w:instrText> PAGE </w:instrText>
        </w:r>
        <w:r>
          <w:rPr>
            <w:sz w:val="24"/>
            <w:szCs w:val="24"/>
            <w:rFonts w:ascii="Liberation Serif" w:hAnsi="Liberation Serif"/>
          </w:rPr>
          <w:fldChar w:fldCharType="separate"/>
        </w:r>
        <w:r>
          <w:rPr>
            <w:sz w:val="24"/>
            <w:szCs w:val="24"/>
            <w:rFonts w:ascii="Liberation Serif" w:hAnsi="Liberation Serif"/>
          </w:rPr>
          <w:t>45</w:t>
        </w:r>
        <w:r>
          <w:rPr>
            <w:sz w:val="24"/>
            <w:szCs w:val="24"/>
            <w:rFonts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c70"/>
    <w:pPr>
      <w:widowControl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a9283a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a9283a"/>
    <w:rPr/>
  </w:style>
  <w:style w:type="character" w:styleId="Style16">
    <w:name w:val="Интернет-ссылка"/>
    <w:basedOn w:val="DefaultParagraphFont"/>
    <w:uiPriority w:val="99"/>
    <w:unhideWhenUsed/>
    <w:rsid w:val="003648d2"/>
    <w:rPr>
      <w:color w:val="0000FF" w:themeColor="hyperlink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b34127"/>
    <w:rPr>
      <w:rFonts w:eastAsia="Times New Roman" w:cs="Times New Roman"/>
      <w:b/>
      <w:bCs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b34127"/>
    <w:pPr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4f39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a9283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unhideWhenUsed/>
    <w:rsid w:val="00a9283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d541e4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61d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fc66.ru/" TargetMode="External"/><Relationship Id="rId3" Type="http://schemas.openxmlformats.org/officeDocument/2006/relationships/hyperlink" Target="http://www.mfc66.ru/" TargetMode="External"/><Relationship Id="rId4" Type="http://schemas.openxmlformats.org/officeDocument/2006/relationships/hyperlink" Target="mailto:sladkovskoe1@mail.ru" TargetMode="External"/><Relationship Id="rId5" Type="http://schemas.openxmlformats.org/officeDocument/2006/relationships/hyperlink" Target="mailto:sladkovskoe1@mail.ru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D467-8CCE-45A7-BD56-7B560A7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LibreOffice/7.2.2.2$Windows_X86_64 LibreOffice_project/02b2acce88a210515b4a5bb2e46cbfb63fe97d56</Application>
  <AppVersion>15.0000</AppVersion>
  <Pages>45</Pages>
  <Words>6927</Words>
  <Characters>54039</Characters>
  <CharactersWithSpaces>60333</CharactersWithSpaces>
  <Paragraphs>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2016-12-30T09:46:00Z</dcterms:created>
  <dc:creator>Белоусова О.В.</dc:creator>
  <dc:description/>
  <dc:language>ru-RU</dc:language>
  <cp:lastModifiedBy/>
  <dcterms:modified xsi:type="dcterms:W3CDTF">2023-09-06T12:03:06Z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