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01.04.202</w:t>
      </w:r>
      <w:r w:rsidR="00516104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3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984"/>
        <w:gridCol w:w="1843"/>
        <w:gridCol w:w="1808"/>
      </w:tblGrid>
      <w:tr w:rsidR="00DE1D31" w:rsidRPr="00DE1D31" w:rsidTr="00516104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CE7AB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кв.             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>2022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843" w:type="dxa"/>
          </w:tcPr>
          <w:p w:rsidR="00DE1D31" w:rsidRPr="00DE1D31" w:rsidRDefault="00DE1D31" w:rsidP="0051610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кв. 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516104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516104" w:rsidRPr="00DE1D31" w:rsidTr="00516104">
        <w:tc>
          <w:tcPr>
            <w:tcW w:w="2338" w:type="dxa"/>
          </w:tcPr>
          <w:p w:rsidR="00516104" w:rsidRPr="009B42FB" w:rsidRDefault="00516104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516104" w:rsidRPr="009B42FB" w:rsidRDefault="00516104" w:rsidP="008F08C0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17629,9</w:t>
            </w:r>
          </w:p>
        </w:tc>
        <w:tc>
          <w:tcPr>
            <w:tcW w:w="1984" w:type="dxa"/>
          </w:tcPr>
          <w:p w:rsidR="00516104" w:rsidRPr="009B42FB" w:rsidRDefault="00516104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22,75</w:t>
            </w:r>
          </w:p>
        </w:tc>
        <w:tc>
          <w:tcPr>
            <w:tcW w:w="1843" w:type="dxa"/>
          </w:tcPr>
          <w:p w:rsidR="00516104" w:rsidRPr="009B42FB" w:rsidRDefault="0051610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14061,8</w:t>
            </w:r>
          </w:p>
        </w:tc>
        <w:tc>
          <w:tcPr>
            <w:tcW w:w="1808" w:type="dxa"/>
          </w:tcPr>
          <w:p w:rsidR="00516104" w:rsidRPr="009B42FB" w:rsidRDefault="00516104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22,75</w:t>
            </w:r>
          </w:p>
        </w:tc>
      </w:tr>
      <w:tr w:rsidR="00516104" w:rsidRPr="00DE1D31" w:rsidTr="00516104">
        <w:tc>
          <w:tcPr>
            <w:tcW w:w="2338" w:type="dxa"/>
          </w:tcPr>
          <w:p w:rsidR="00516104" w:rsidRPr="009B42FB" w:rsidRDefault="00516104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516104" w:rsidRPr="009B42FB" w:rsidRDefault="00516104" w:rsidP="008F08C0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13554,3</w:t>
            </w:r>
          </w:p>
        </w:tc>
        <w:tc>
          <w:tcPr>
            <w:tcW w:w="1984" w:type="dxa"/>
          </w:tcPr>
          <w:p w:rsidR="00516104" w:rsidRPr="009B42FB" w:rsidRDefault="00516104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17,49</w:t>
            </w:r>
          </w:p>
        </w:tc>
        <w:tc>
          <w:tcPr>
            <w:tcW w:w="1843" w:type="dxa"/>
          </w:tcPr>
          <w:p w:rsidR="00516104" w:rsidRPr="009B42FB" w:rsidRDefault="0051610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12839,4</w:t>
            </w:r>
          </w:p>
        </w:tc>
        <w:tc>
          <w:tcPr>
            <w:tcW w:w="1808" w:type="dxa"/>
          </w:tcPr>
          <w:p w:rsidR="00516104" w:rsidRPr="009B42FB" w:rsidRDefault="0051610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16,68</w:t>
            </w:r>
          </w:p>
        </w:tc>
      </w:tr>
      <w:tr w:rsidR="00516104" w:rsidRPr="00DE1D31" w:rsidTr="00516104">
        <w:tc>
          <w:tcPr>
            <w:tcW w:w="2338" w:type="dxa"/>
          </w:tcPr>
          <w:p w:rsidR="00516104" w:rsidRPr="009B42FB" w:rsidRDefault="00516104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516104" w:rsidRPr="009B42FB" w:rsidRDefault="00516104" w:rsidP="008F08C0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4075,6</w:t>
            </w:r>
          </w:p>
        </w:tc>
        <w:tc>
          <w:tcPr>
            <w:tcW w:w="1984" w:type="dxa"/>
          </w:tcPr>
          <w:p w:rsidR="00516104" w:rsidRPr="009B42FB" w:rsidRDefault="00516104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04" w:rsidRPr="009B42FB" w:rsidRDefault="00516104" w:rsidP="0051610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1222,4</w:t>
            </w:r>
          </w:p>
        </w:tc>
        <w:tc>
          <w:tcPr>
            <w:tcW w:w="1808" w:type="dxa"/>
          </w:tcPr>
          <w:p w:rsidR="00516104" w:rsidRPr="009B42FB" w:rsidRDefault="00516104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01.04.202</w:t>
      </w:r>
      <w:r w:rsidR="0051610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3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51610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9861BB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9861B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9861BB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3564AC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1F00A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3564AC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516104" w:rsidTr="00D43145">
        <w:tc>
          <w:tcPr>
            <w:tcW w:w="3011" w:type="dxa"/>
          </w:tcPr>
          <w:p w:rsidR="00516104" w:rsidRPr="00D43145" w:rsidRDefault="0051610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516104" w:rsidRPr="00D43145" w:rsidRDefault="0051610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76954,9</w:t>
            </w:r>
          </w:p>
        </w:tc>
        <w:tc>
          <w:tcPr>
            <w:tcW w:w="1349" w:type="dxa"/>
          </w:tcPr>
          <w:p w:rsidR="00516104" w:rsidRPr="00D43145" w:rsidRDefault="0051610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14061,8</w:t>
            </w:r>
          </w:p>
        </w:tc>
        <w:tc>
          <w:tcPr>
            <w:tcW w:w="1643" w:type="dxa"/>
          </w:tcPr>
          <w:p w:rsidR="00516104" w:rsidRPr="00D43145" w:rsidRDefault="00516104" w:rsidP="00516104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18,27</w:t>
            </w:r>
          </w:p>
        </w:tc>
        <w:tc>
          <w:tcPr>
            <w:tcW w:w="1349" w:type="dxa"/>
          </w:tcPr>
          <w:p w:rsidR="00516104" w:rsidRPr="00D43145" w:rsidRDefault="00516104" w:rsidP="008F08C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17629,9</w:t>
            </w:r>
          </w:p>
        </w:tc>
        <w:tc>
          <w:tcPr>
            <w:tcW w:w="1613" w:type="dxa"/>
          </w:tcPr>
          <w:p w:rsidR="00516104" w:rsidRPr="00D43145" w:rsidRDefault="003564AC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79,76</w:t>
            </w:r>
          </w:p>
        </w:tc>
      </w:tr>
      <w:tr w:rsidR="00516104" w:rsidTr="00D43145">
        <w:tc>
          <w:tcPr>
            <w:tcW w:w="3011" w:type="dxa"/>
          </w:tcPr>
          <w:p w:rsidR="00516104" w:rsidRPr="003564AC" w:rsidRDefault="0051610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3564AC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516104" w:rsidRPr="003564AC" w:rsidRDefault="003564AC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14956,0</w:t>
            </w:r>
          </w:p>
        </w:tc>
        <w:tc>
          <w:tcPr>
            <w:tcW w:w="1349" w:type="dxa"/>
          </w:tcPr>
          <w:p w:rsidR="00516104" w:rsidRPr="003564AC" w:rsidRDefault="003564AC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2563,5</w:t>
            </w:r>
          </w:p>
        </w:tc>
        <w:tc>
          <w:tcPr>
            <w:tcW w:w="1643" w:type="dxa"/>
          </w:tcPr>
          <w:p w:rsidR="00516104" w:rsidRPr="003564AC" w:rsidRDefault="003564AC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17,14</w:t>
            </w:r>
          </w:p>
        </w:tc>
        <w:tc>
          <w:tcPr>
            <w:tcW w:w="1349" w:type="dxa"/>
          </w:tcPr>
          <w:p w:rsidR="00516104" w:rsidRPr="003564AC" w:rsidRDefault="00516104" w:rsidP="008F08C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3564AC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2784,7</w:t>
            </w:r>
          </w:p>
        </w:tc>
        <w:tc>
          <w:tcPr>
            <w:tcW w:w="1613" w:type="dxa"/>
          </w:tcPr>
          <w:p w:rsidR="00516104" w:rsidRPr="003564AC" w:rsidRDefault="003564AC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92,06</w:t>
            </w:r>
          </w:p>
        </w:tc>
      </w:tr>
      <w:tr w:rsidR="00516104" w:rsidTr="00D43145">
        <w:tc>
          <w:tcPr>
            <w:tcW w:w="3011" w:type="dxa"/>
          </w:tcPr>
          <w:p w:rsidR="00516104" w:rsidRPr="003564AC" w:rsidRDefault="0051610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3564AC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516104" w:rsidRPr="003564AC" w:rsidRDefault="003564AC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417,0</w:t>
            </w:r>
          </w:p>
        </w:tc>
        <w:tc>
          <w:tcPr>
            <w:tcW w:w="1349" w:type="dxa"/>
          </w:tcPr>
          <w:p w:rsidR="00516104" w:rsidRPr="003564AC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67,6</w:t>
            </w:r>
          </w:p>
        </w:tc>
        <w:tc>
          <w:tcPr>
            <w:tcW w:w="1643" w:type="dxa"/>
          </w:tcPr>
          <w:p w:rsidR="00516104" w:rsidRPr="003564AC" w:rsidRDefault="003564AC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16,20</w:t>
            </w:r>
          </w:p>
        </w:tc>
        <w:tc>
          <w:tcPr>
            <w:tcW w:w="1349" w:type="dxa"/>
          </w:tcPr>
          <w:p w:rsidR="00516104" w:rsidRPr="003564AC" w:rsidRDefault="00516104" w:rsidP="008F08C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3564AC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55,4</w:t>
            </w:r>
          </w:p>
        </w:tc>
        <w:tc>
          <w:tcPr>
            <w:tcW w:w="1613" w:type="dxa"/>
          </w:tcPr>
          <w:p w:rsidR="00516104" w:rsidRPr="003564AC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122,02</w:t>
            </w:r>
          </w:p>
        </w:tc>
      </w:tr>
      <w:tr w:rsidR="00516104" w:rsidTr="00D43145">
        <w:tc>
          <w:tcPr>
            <w:tcW w:w="3011" w:type="dxa"/>
          </w:tcPr>
          <w:p w:rsidR="00516104" w:rsidRDefault="0051610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516104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11268,0</w:t>
            </w:r>
          </w:p>
        </w:tc>
        <w:tc>
          <w:tcPr>
            <w:tcW w:w="1349" w:type="dxa"/>
          </w:tcPr>
          <w:p w:rsidR="00516104" w:rsidRDefault="003564AC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2652,4</w:t>
            </w:r>
          </w:p>
        </w:tc>
        <w:tc>
          <w:tcPr>
            <w:tcW w:w="1643" w:type="dxa"/>
          </w:tcPr>
          <w:p w:rsidR="00516104" w:rsidRDefault="003564AC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23,54</w:t>
            </w:r>
          </w:p>
        </w:tc>
        <w:tc>
          <w:tcPr>
            <w:tcW w:w="1349" w:type="dxa"/>
          </w:tcPr>
          <w:p w:rsidR="00516104" w:rsidRDefault="00516104" w:rsidP="008F08C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2386,9</w:t>
            </w:r>
          </w:p>
        </w:tc>
        <w:tc>
          <w:tcPr>
            <w:tcW w:w="1613" w:type="dxa"/>
          </w:tcPr>
          <w:p w:rsidR="00516104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111,12</w:t>
            </w:r>
          </w:p>
        </w:tc>
      </w:tr>
      <w:tr w:rsidR="00516104" w:rsidTr="00D43145">
        <w:tc>
          <w:tcPr>
            <w:tcW w:w="3011" w:type="dxa"/>
          </w:tcPr>
          <w:p w:rsidR="00516104" w:rsidRDefault="0051610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516104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1020,0</w:t>
            </w:r>
          </w:p>
        </w:tc>
        <w:tc>
          <w:tcPr>
            <w:tcW w:w="1349" w:type="dxa"/>
          </w:tcPr>
          <w:p w:rsidR="00516104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22,3</w:t>
            </w:r>
          </w:p>
        </w:tc>
        <w:tc>
          <w:tcPr>
            <w:tcW w:w="1643" w:type="dxa"/>
          </w:tcPr>
          <w:p w:rsidR="00516104" w:rsidRDefault="003564AC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2,19</w:t>
            </w:r>
          </w:p>
        </w:tc>
        <w:tc>
          <w:tcPr>
            <w:tcW w:w="1349" w:type="dxa"/>
          </w:tcPr>
          <w:p w:rsidR="00516104" w:rsidRDefault="00516104" w:rsidP="008F08C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61,3</w:t>
            </w:r>
          </w:p>
        </w:tc>
        <w:tc>
          <w:tcPr>
            <w:tcW w:w="1613" w:type="dxa"/>
          </w:tcPr>
          <w:p w:rsidR="00516104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36,38</w:t>
            </w:r>
          </w:p>
        </w:tc>
      </w:tr>
      <w:tr w:rsidR="00516104" w:rsidTr="00D43145">
        <w:tc>
          <w:tcPr>
            <w:tcW w:w="3011" w:type="dxa"/>
          </w:tcPr>
          <w:p w:rsidR="00516104" w:rsidRDefault="0051610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516104" w:rsidRDefault="00516104" w:rsidP="003564AC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3564AC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85</w:t>
            </w:r>
          </w:p>
        </w:tc>
        <w:tc>
          <w:tcPr>
            <w:tcW w:w="1349" w:type="dxa"/>
          </w:tcPr>
          <w:p w:rsidR="00516104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- 201,6</w:t>
            </w:r>
          </w:p>
        </w:tc>
        <w:tc>
          <w:tcPr>
            <w:tcW w:w="1643" w:type="dxa"/>
          </w:tcPr>
          <w:p w:rsidR="00516104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- 9,67</w:t>
            </w:r>
          </w:p>
        </w:tc>
        <w:tc>
          <w:tcPr>
            <w:tcW w:w="1349" w:type="dxa"/>
          </w:tcPr>
          <w:p w:rsidR="00516104" w:rsidRDefault="00516104" w:rsidP="008F08C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259,5</w:t>
            </w:r>
          </w:p>
        </w:tc>
        <w:tc>
          <w:tcPr>
            <w:tcW w:w="1613" w:type="dxa"/>
          </w:tcPr>
          <w:p w:rsidR="00516104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516104" w:rsidTr="00D43145">
        <w:tc>
          <w:tcPr>
            <w:tcW w:w="3011" w:type="dxa"/>
          </w:tcPr>
          <w:p w:rsidR="00516104" w:rsidRDefault="0051610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516104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166,0</w:t>
            </w:r>
          </w:p>
        </w:tc>
        <w:tc>
          <w:tcPr>
            <w:tcW w:w="1349" w:type="dxa"/>
          </w:tcPr>
          <w:p w:rsidR="00516104" w:rsidRDefault="003564AC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22,8</w:t>
            </w:r>
          </w:p>
        </w:tc>
        <w:tc>
          <w:tcPr>
            <w:tcW w:w="1643" w:type="dxa"/>
          </w:tcPr>
          <w:p w:rsidR="00516104" w:rsidRDefault="003564AC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13,75</w:t>
            </w:r>
          </w:p>
        </w:tc>
        <w:tc>
          <w:tcPr>
            <w:tcW w:w="1349" w:type="dxa"/>
          </w:tcPr>
          <w:p w:rsidR="00516104" w:rsidRDefault="00516104" w:rsidP="008F08C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21,7</w:t>
            </w:r>
          </w:p>
        </w:tc>
        <w:tc>
          <w:tcPr>
            <w:tcW w:w="1613" w:type="dxa"/>
          </w:tcPr>
          <w:p w:rsidR="00516104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105,07</w:t>
            </w:r>
          </w:p>
        </w:tc>
      </w:tr>
      <w:tr w:rsidR="00516104" w:rsidTr="00D43145">
        <w:tc>
          <w:tcPr>
            <w:tcW w:w="3011" w:type="dxa"/>
          </w:tcPr>
          <w:p w:rsidR="00516104" w:rsidRPr="00D43145" w:rsidRDefault="0051610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516104" w:rsidRPr="008A3122" w:rsidRDefault="003564AC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61998,9</w:t>
            </w:r>
          </w:p>
        </w:tc>
        <w:tc>
          <w:tcPr>
            <w:tcW w:w="1349" w:type="dxa"/>
          </w:tcPr>
          <w:p w:rsidR="00516104" w:rsidRPr="008A3122" w:rsidRDefault="00BC332B" w:rsidP="008C5B62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11498,3</w:t>
            </w:r>
          </w:p>
        </w:tc>
        <w:tc>
          <w:tcPr>
            <w:tcW w:w="1643" w:type="dxa"/>
          </w:tcPr>
          <w:p w:rsidR="00516104" w:rsidRPr="008A3122" w:rsidRDefault="0051610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22,87</w:t>
            </w:r>
          </w:p>
        </w:tc>
        <w:tc>
          <w:tcPr>
            <w:tcW w:w="1349" w:type="dxa"/>
          </w:tcPr>
          <w:p w:rsidR="00516104" w:rsidRPr="008A3122" w:rsidRDefault="00516104" w:rsidP="008F08C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14845,2</w:t>
            </w:r>
          </w:p>
        </w:tc>
        <w:tc>
          <w:tcPr>
            <w:tcW w:w="1613" w:type="dxa"/>
          </w:tcPr>
          <w:p w:rsidR="00516104" w:rsidRPr="008A3122" w:rsidRDefault="00BC332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77,45</w:t>
            </w:r>
          </w:p>
        </w:tc>
      </w:tr>
      <w:tr w:rsidR="00516104" w:rsidTr="00D43145">
        <w:tc>
          <w:tcPr>
            <w:tcW w:w="3011" w:type="dxa"/>
          </w:tcPr>
          <w:p w:rsidR="00516104" w:rsidRDefault="0051610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516104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7347,0</w:t>
            </w:r>
          </w:p>
        </w:tc>
        <w:tc>
          <w:tcPr>
            <w:tcW w:w="1349" w:type="dxa"/>
          </w:tcPr>
          <w:p w:rsidR="00516104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1836,0</w:t>
            </w:r>
          </w:p>
        </w:tc>
        <w:tc>
          <w:tcPr>
            <w:tcW w:w="1643" w:type="dxa"/>
          </w:tcPr>
          <w:p w:rsidR="00516104" w:rsidRDefault="00516104" w:rsidP="00BC332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24,9</w:t>
            </w:r>
            <w:r w:rsidR="00BC332B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</w:t>
            </w:r>
          </w:p>
        </w:tc>
        <w:tc>
          <w:tcPr>
            <w:tcW w:w="1349" w:type="dxa"/>
          </w:tcPr>
          <w:p w:rsidR="00516104" w:rsidRDefault="00516104" w:rsidP="008F08C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1242</w:t>
            </w:r>
          </w:p>
        </w:tc>
        <w:tc>
          <w:tcPr>
            <w:tcW w:w="1613" w:type="dxa"/>
          </w:tcPr>
          <w:p w:rsidR="00516104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147,83</w:t>
            </w:r>
          </w:p>
        </w:tc>
      </w:tr>
      <w:tr w:rsidR="00516104" w:rsidTr="00D43145">
        <w:tc>
          <w:tcPr>
            <w:tcW w:w="3011" w:type="dxa"/>
          </w:tcPr>
          <w:p w:rsidR="00516104" w:rsidRDefault="0051610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516104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336,8</w:t>
            </w:r>
          </w:p>
        </w:tc>
        <w:tc>
          <w:tcPr>
            <w:tcW w:w="1349" w:type="dxa"/>
          </w:tcPr>
          <w:p w:rsidR="00516104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77,0</w:t>
            </w:r>
          </w:p>
        </w:tc>
        <w:tc>
          <w:tcPr>
            <w:tcW w:w="1643" w:type="dxa"/>
          </w:tcPr>
          <w:p w:rsidR="00516104" w:rsidRDefault="00516104" w:rsidP="00BC332B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22,</w:t>
            </w:r>
            <w:r w:rsidR="00BC332B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86</w:t>
            </w:r>
          </w:p>
        </w:tc>
        <w:tc>
          <w:tcPr>
            <w:tcW w:w="1349" w:type="dxa"/>
          </w:tcPr>
          <w:p w:rsidR="00516104" w:rsidRDefault="00516104" w:rsidP="008F08C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69,5</w:t>
            </w:r>
          </w:p>
        </w:tc>
        <w:tc>
          <w:tcPr>
            <w:tcW w:w="1613" w:type="dxa"/>
          </w:tcPr>
          <w:p w:rsidR="00516104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110,79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7403D4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1471,2</w:t>
            </w:r>
          </w:p>
        </w:tc>
        <w:tc>
          <w:tcPr>
            <w:tcW w:w="1349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43" w:type="dxa"/>
          </w:tcPr>
          <w:p w:rsidR="007403D4" w:rsidRDefault="008C5B6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7403D4" w:rsidRDefault="007403D4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13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7403D4" w:rsidRDefault="003564AC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52773,0</w:t>
            </w:r>
          </w:p>
        </w:tc>
        <w:tc>
          <w:tcPr>
            <w:tcW w:w="1349" w:type="dxa"/>
          </w:tcPr>
          <w:p w:rsidR="007403D4" w:rsidRDefault="00BC332B" w:rsidP="001F00A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9707,4</w:t>
            </w:r>
          </w:p>
        </w:tc>
        <w:tc>
          <w:tcPr>
            <w:tcW w:w="1643" w:type="dxa"/>
          </w:tcPr>
          <w:p w:rsidR="007403D4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18,39</w:t>
            </w:r>
          </w:p>
        </w:tc>
        <w:tc>
          <w:tcPr>
            <w:tcW w:w="1349" w:type="dxa"/>
          </w:tcPr>
          <w:p w:rsidR="007403D4" w:rsidRDefault="00516104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13533,7</w:t>
            </w:r>
          </w:p>
        </w:tc>
        <w:tc>
          <w:tcPr>
            <w:tcW w:w="1613" w:type="dxa"/>
          </w:tcPr>
          <w:p w:rsidR="007403D4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71,73</w:t>
            </w:r>
          </w:p>
        </w:tc>
      </w:tr>
      <w:tr w:rsidR="007403D4" w:rsidTr="00D43145">
        <w:tc>
          <w:tcPr>
            <w:tcW w:w="3011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Субсидии на поддержку отрасли культуры</w:t>
            </w:r>
          </w:p>
        </w:tc>
        <w:tc>
          <w:tcPr>
            <w:tcW w:w="1349" w:type="dxa"/>
          </w:tcPr>
          <w:p w:rsidR="007403D4" w:rsidRDefault="003564AC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70,9</w:t>
            </w:r>
          </w:p>
        </w:tc>
        <w:tc>
          <w:tcPr>
            <w:tcW w:w="1349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43" w:type="dxa"/>
          </w:tcPr>
          <w:p w:rsidR="007403D4" w:rsidRDefault="001F00A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7403D4" w:rsidRDefault="00BC332B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13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BC332B" w:rsidTr="00D43145">
        <w:tc>
          <w:tcPr>
            <w:tcW w:w="3011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Возврат прочих остатков субсидий субвенций и иных межбюджетных трансфертов</w:t>
            </w:r>
          </w:p>
        </w:tc>
        <w:tc>
          <w:tcPr>
            <w:tcW w:w="1349" w:type="dxa"/>
          </w:tcPr>
          <w:p w:rsidR="00BC332B" w:rsidRDefault="00BC332B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-122,1</w:t>
            </w:r>
          </w:p>
        </w:tc>
        <w:tc>
          <w:tcPr>
            <w:tcW w:w="1643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BC332B" w:rsidRDefault="00BC332B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13" w:type="dxa"/>
          </w:tcPr>
          <w:p w:rsidR="00BC332B" w:rsidRDefault="00BC332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C03882">
        <w:rPr>
          <w:rFonts w:ascii="Liberation Serif" w:hAnsi="Liberation Serif" w:cs="Times New Roman"/>
          <w:b/>
          <w:i/>
          <w:color w:val="00B0F0"/>
          <w:sz w:val="40"/>
          <w:szCs w:val="40"/>
        </w:rPr>
        <w:t>3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C03882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C03882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C03882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03882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2726,8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C03882" w:rsidP="00C03882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13509,4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2579,0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C03882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19,</w:t>
                                  </w:r>
                                  <w:r w:rsidR="001A1D06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94,58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69,3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336,4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C03882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22,8</w:t>
                                  </w:r>
                                  <w:r w:rsidR="001A1D06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111,11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210,2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1515,0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C03882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256,7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16,94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122,12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2126,4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17339,0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1508,5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8,70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70,94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774</w:t>
                                  </w:r>
                                  <w:r w:rsidR="001A1D06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12954,2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925,1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1A1D06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7,14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119,52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A1D06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="001A1D06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7598</w:t>
                                  </w:r>
                                  <w:r w:rsidR="001A1D06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1A1D06" w:rsidP="00F76C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30730,9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1A1D06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7470,2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1A1D06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24,31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1A1D06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98,32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1A1D06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3882" w:rsidRPr="00B43FAC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486,0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1A1D06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23,0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C03882" w:rsidP="001A1D0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4,</w:t>
                                  </w:r>
                                  <w:r w:rsidR="001A1D06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1A1D06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74,19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AE707A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59,0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Default="001A1D06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Default="00C03882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3882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C03882" w:rsidRPr="00B43FAC" w:rsidRDefault="00C03882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03882" w:rsidRPr="00B43FAC" w:rsidRDefault="00C03882" w:rsidP="00FC3ACC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13554,3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76954,9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12839,4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16,68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03882" w:rsidRPr="00B43FAC" w:rsidRDefault="001A1D0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94,73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03882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C03882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03882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C03882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2726,8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C03882" w:rsidP="00C03882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13509,4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2579,0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C03882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19,</w:t>
                            </w:r>
                            <w:r w:rsidR="001A1D06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94,58</w:t>
                            </w:r>
                          </w:p>
                        </w:tc>
                      </w:tr>
                      <w:tr w:rsidR="00C03882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69,3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336,4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C03882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22,8</w:t>
                            </w:r>
                            <w:r w:rsidR="001A1D06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111,11</w:t>
                            </w:r>
                          </w:p>
                        </w:tc>
                      </w:tr>
                      <w:tr w:rsidR="00C03882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210,2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1515,0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C03882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256,7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16,94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122,12</w:t>
                            </w:r>
                          </w:p>
                        </w:tc>
                      </w:tr>
                      <w:tr w:rsidR="00C03882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2126,4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17339,0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1508,5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8,70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70,94</w:t>
                            </w:r>
                          </w:p>
                        </w:tc>
                      </w:tr>
                      <w:tr w:rsidR="00C03882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774</w:t>
                            </w:r>
                            <w:r w:rsidR="001A1D06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12954,2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925,1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1A1D06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7,14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119,52</w:t>
                            </w:r>
                          </w:p>
                        </w:tc>
                      </w:tr>
                      <w:tr w:rsidR="00C03882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C03882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A1D06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1A1D06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C03882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7598</w:t>
                            </w:r>
                            <w:r w:rsidR="001A1D06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1A1D06" w:rsidP="00F76C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30730,9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1A1D06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7470,2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1A1D06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24,31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1A1D06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98,32</w:t>
                            </w:r>
                          </w:p>
                        </w:tc>
                      </w:tr>
                      <w:tr w:rsidR="00C03882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1A1D06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C03882" w:rsidRPr="00B43FAC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486,0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1A1D06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23,0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C03882" w:rsidP="001A1D0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4,</w:t>
                            </w:r>
                            <w:r w:rsidR="001A1D06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1A1D06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74,19</w:t>
                            </w:r>
                          </w:p>
                        </w:tc>
                      </w:tr>
                      <w:tr w:rsidR="00C03882" w:rsidRPr="00B43FAC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AE707A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59,0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Default="001A1D06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Default="00C03882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C03882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C03882" w:rsidRPr="00B43FAC" w:rsidRDefault="00C03882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03882" w:rsidRPr="00B43FAC" w:rsidRDefault="00C03882" w:rsidP="00FC3ACC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13554,3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76954,9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12839,4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16,68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03882" w:rsidRPr="00B43FAC" w:rsidRDefault="001A1D0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94,73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B43FAC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1A1D06">
        <w:rPr>
          <w:rFonts w:ascii="Liberation Serif" w:hAnsi="Liberation Serif" w:cs="Times New Roman"/>
          <w:b/>
          <w:i/>
          <w:color w:val="00B0F0"/>
          <w:sz w:val="40"/>
          <w:szCs w:val="40"/>
        </w:rPr>
        <w:t>3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F432B0">
        <w:rPr>
          <w:rFonts w:ascii="Liberation Serif" w:hAnsi="Liberation Serif" w:cs="Times New Roman"/>
          <w:sz w:val="28"/>
          <w:szCs w:val="28"/>
        </w:rPr>
        <w:t>58,18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F432B0">
        <w:rPr>
          <w:rFonts w:ascii="Liberation Serif" w:hAnsi="Liberation Serif" w:cs="Times New Roman"/>
          <w:sz w:val="28"/>
          <w:szCs w:val="28"/>
        </w:rPr>
        <w:t>20,08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F432B0">
        <w:rPr>
          <w:rFonts w:ascii="Liberation Serif" w:hAnsi="Liberation Serif" w:cs="Times New Roman"/>
          <w:sz w:val="28"/>
          <w:szCs w:val="28"/>
        </w:rPr>
        <w:t>11,75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042660" cy="5554980"/>
            <wp:effectExtent l="3810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C60DB4" w:rsidRDefault="00C60DB4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исполнения расходов 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85B1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924A9C">
        <w:rPr>
          <w:rFonts w:ascii="Liberation Serif" w:hAnsi="Liberation Serif" w:cs="Times New Roman"/>
          <w:sz w:val="28"/>
          <w:szCs w:val="28"/>
        </w:rPr>
        <w:t>56,06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924A9C">
        <w:rPr>
          <w:rFonts w:ascii="Liberation Serif" w:hAnsi="Liberation Serif" w:cs="Times New Roman"/>
          <w:sz w:val="28"/>
          <w:szCs w:val="28"/>
        </w:rPr>
        <w:t>20,12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B57E56">
        <w:rPr>
          <w:rFonts w:ascii="Liberation Serif" w:hAnsi="Liberation Serif" w:cs="Times New Roman"/>
          <w:sz w:val="28"/>
          <w:szCs w:val="28"/>
        </w:rPr>
        <w:t>15,</w:t>
      </w:r>
      <w:r w:rsidR="00924A9C">
        <w:rPr>
          <w:rFonts w:ascii="Liberation Serif" w:hAnsi="Liberation Serif" w:cs="Times New Roman"/>
          <w:sz w:val="28"/>
          <w:szCs w:val="28"/>
        </w:rPr>
        <w:t>68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3810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C53FEA5" wp14:editId="5D5CD0B6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bookmarkStart w:id="0" w:name="_GoBack"/>
      <w:bookmarkEnd w:id="0"/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Default="00B57E56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01.01.2021 – 0,0 тыс. руб.</w:t>
                            </w:r>
                          </w:p>
                          <w:p w:rsidR="00F432B0" w:rsidRDefault="00924A9C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01.01.2022 – 0,0 тыс. руб.</w:t>
                            </w:r>
                            <w:r w:rsidR="00F432B0"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24A9C" w:rsidRPr="00A028F7" w:rsidRDefault="00F432B0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       сальдо на  01.01.2023 – 732,6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p w:rsidR="003360FE" w:rsidRDefault="00B57E56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01.01.2021 – 0,0 тыс. руб.</w:t>
                      </w:r>
                    </w:p>
                    <w:p w:rsidR="00F432B0" w:rsidRDefault="00924A9C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01.01.2022 – 0,0 тыс. руб.</w:t>
                      </w:r>
                      <w:r w:rsidR="00F432B0"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24A9C" w:rsidRPr="00A028F7" w:rsidRDefault="00F432B0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       сальдо на  01.01.2023 – 732,6 тыс. руб.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D06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00A0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B5A18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17983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4AC"/>
    <w:rsid w:val="003568DC"/>
    <w:rsid w:val="00361EA6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088D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104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3D4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92194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7F277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B62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4A9C"/>
    <w:rsid w:val="00925168"/>
    <w:rsid w:val="009320B3"/>
    <w:rsid w:val="0095091F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861BB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40C8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332B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3882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E7ABB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5B1A"/>
    <w:rsid w:val="00D86348"/>
    <w:rsid w:val="00D951F7"/>
    <w:rsid w:val="00D95C86"/>
    <w:rsid w:val="00DA17E4"/>
    <w:rsid w:val="00DA39C7"/>
    <w:rsid w:val="00DA523D"/>
    <w:rsid w:val="00DA59DE"/>
    <w:rsid w:val="00DA7898"/>
    <w:rsid w:val="00DA789E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32B0"/>
    <w:rsid w:val="00F4383F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656B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16658276581532E-2"/>
          <c:y val="3.6714677194276332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17629.900000000001</c:v>
                </c:pt>
                <c:pt idx="3">
                  <c:v>14061.8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13554.3</c:v>
                </c:pt>
                <c:pt idx="3">
                  <c:v>12839.4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15769344"/>
        <c:axId val="115770880"/>
        <c:axId val="115761600"/>
      </c:bar3DChart>
      <c:catAx>
        <c:axId val="115769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115770880"/>
        <c:crosses val="autoZero"/>
        <c:auto val="1"/>
        <c:lblAlgn val="ctr"/>
        <c:lblOffset val="100"/>
        <c:noMultiLvlLbl val="0"/>
      </c:catAx>
      <c:valAx>
        <c:axId val="11577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5769344"/>
        <c:crosses val="autoZero"/>
        <c:crossBetween val="between"/>
      </c:valAx>
      <c:serAx>
        <c:axId val="115761600"/>
        <c:scaling>
          <c:orientation val="minMax"/>
        </c:scaling>
        <c:delete val="1"/>
        <c:axPos val="b"/>
        <c:majorTickMark val="none"/>
        <c:minorTickMark val="none"/>
        <c:tickLblPos val="nextTo"/>
        <c:crossAx val="115770880"/>
        <c:crosses val="autoZero"/>
      </c:serAx>
      <c:spPr>
        <a:solidFill>
          <a:schemeClr val="accent6">
            <a:lumMod val="20000"/>
            <a:lumOff val="80000"/>
          </a:schemeClr>
        </a:solidFill>
      </c:spPr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1 квартал 2023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97150356205475E-2"/>
          <c:y val="0.12413497713318696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6"/>
          </c:dPt>
          <c:dLbls>
            <c:dLbl>
              <c:idx val="0"/>
              <c:layout>
                <c:manualLayout>
                  <c:x val="0.26268560179977501"/>
                  <c:y val="-3.8773233940784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
2,64%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на нефтепродукты
103,46%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2658886389201351E-2"/>
                  <c:y val="0.177784459891003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
0,87%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6804305711786027"/>
                  <c:y val="4.9927739938369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
-7,86%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8440194975628048E-2"/>
                  <c:y val="-3.25121326974447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имущества, находящегося в муниципальной собственности
0,74%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9042729033870768"/>
                  <c:y val="-4.82166916080427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неналоговые доходы
0,15%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67.599999999999994</c:v>
                </c:pt>
                <c:pt idx="1">
                  <c:v>2652.4</c:v>
                </c:pt>
                <c:pt idx="3">
                  <c:v>22.3</c:v>
                </c:pt>
                <c:pt idx="4">
                  <c:v>-201.6</c:v>
                </c:pt>
                <c:pt idx="5">
                  <c:v>19</c:v>
                </c:pt>
                <c:pt idx="6">
                  <c:v>3.8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4">
            <a:lumMod val="20000"/>
            <a:lumOff val="80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1 квартал  2023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058005562177193E-2"/>
          <c:y val="0.2014003489084822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
15,97%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прочие межбюджетные трансферты
84,42%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35657575729136359"/>
                  <c:y val="0.153326810945039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Возврат прочих остатков субсидий субвенций и иных межбюджетных трансфертов
-1,05%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3">
                  <c:v>прочие межбюджетные трансферты</c:v>
                </c:pt>
                <c:pt idx="4">
                  <c:v>Возврат прочих остатков субсидий субвенций и иных межбюджетных трансфертов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1836</c:v>
                </c:pt>
                <c:pt idx="1">
                  <c:v>77</c:v>
                </c:pt>
                <c:pt idx="3">
                  <c:v>9707.4</c:v>
                </c:pt>
                <c:pt idx="4">
                  <c:v>-122.1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  <c:spPr>
        <a:solidFill>
          <a:srgbClr val="FFC000"/>
        </a:solidFill>
      </c:spPr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2540.6999999999998</c:v>
                </c:pt>
                <c:pt idx="1">
                  <c:v>22.8</c:v>
                </c:pt>
                <c:pt idx="2">
                  <c:v>11498.3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2763</c:v>
                </c:pt>
                <c:pt idx="1">
                  <c:v>21.7</c:v>
                </c:pt>
                <c:pt idx="2">
                  <c:v>14845.2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2051968"/>
        <c:axId val="122053760"/>
        <c:axId val="0"/>
      </c:bar3DChart>
      <c:catAx>
        <c:axId val="1220519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2053760"/>
        <c:crosses val="autoZero"/>
        <c:auto val="1"/>
        <c:lblAlgn val="ctr"/>
        <c:lblOffset val="100"/>
        <c:noMultiLvlLbl val="0"/>
      </c:catAx>
      <c:valAx>
        <c:axId val="12205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05196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02725620835858E-2"/>
          <c:y val="6.4319943546151365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20,08%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6818990736665E-4"/>
                  <c:y val="-0.16092191601049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2579</c:v>
                </c:pt>
                <c:pt idx="1">
                  <c:v>77</c:v>
                </c:pt>
                <c:pt idx="2">
                  <c:v>256.7</c:v>
                </c:pt>
                <c:pt idx="3">
                  <c:v>1508.5</c:v>
                </c:pt>
                <c:pt idx="4">
                  <c:v>925.1</c:v>
                </c:pt>
                <c:pt idx="5">
                  <c:v>0</c:v>
                </c:pt>
                <c:pt idx="6">
                  <c:v>0</c:v>
                </c:pt>
                <c:pt idx="7">
                  <c:v>7470.2</c:v>
                </c:pt>
                <c:pt idx="8">
                  <c:v>0</c:v>
                </c:pt>
                <c:pt idx="9">
                  <c:v>23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328801934109382"/>
                  <c:y val="9.9904577235665842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3966861013"/>
                  <c:y val="-0.28982360981915528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7957898392474E-4"/>
                  <c:y val="-0.14866888519134774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8901611535199326E-2"/>
                  <c:y val="-7.8541014319965408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accent2">
                            <a:lumMod val="50000"/>
                          </a:schemeClr>
                        </a:solidFill>
                      </a:defRPr>
                    </a:pPr>
                    <a:r>
                      <a:rPr lang="ru-RU"/>
                      <a:t>НАЦИОНАЛЬНАЯ ЭКОНОМИКА
15,68%</a:t>
                    </a:r>
                  </a:p>
                </c:rich>
              </c:tx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070285107491334"/>
                  <c:y val="-3.7675396648630233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2264372249270368"/>
                  <c:y val="-5.0132543748171249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2.1481236601150047E-2"/>
                  <c:y val="-7.6355461806874803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8955841397687884"/>
                  <c:y val="-2.9290858193474569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chemeClr val="accent6">
                      <a:lumMod val="20000"/>
                      <a:lumOff val="8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2726.8</c:v>
                </c:pt>
                <c:pt idx="1">
                  <c:v>69.3</c:v>
                </c:pt>
                <c:pt idx="2">
                  <c:v>210.2</c:v>
                </c:pt>
                <c:pt idx="3">
                  <c:v>2126.4</c:v>
                </c:pt>
                <c:pt idx="4">
                  <c:v>774</c:v>
                </c:pt>
                <c:pt idx="5">
                  <c:v>0</c:v>
                </c:pt>
                <c:pt idx="6">
                  <c:v>4</c:v>
                </c:pt>
                <c:pt idx="7">
                  <c:v>7598</c:v>
                </c:pt>
                <c:pt idx="8">
                  <c:v>0</c:v>
                </c:pt>
                <c:pt idx="9">
                  <c:v>31</c:v>
                </c:pt>
                <c:pt idx="10">
                  <c:v>14.6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2579</c:v>
                </c:pt>
                <c:pt idx="1">
                  <c:v>7470.2</c:v>
                </c:pt>
                <c:pt idx="2">
                  <c:v>925.1</c:v>
                </c:pt>
                <c:pt idx="3">
                  <c:v>1508.5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2726.8</c:v>
                </c:pt>
                <c:pt idx="1">
                  <c:v>7598</c:v>
                </c:pt>
                <c:pt idx="2">
                  <c:v>774</c:v>
                </c:pt>
                <c:pt idx="3">
                  <c:v>2126.4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5702784"/>
        <c:axId val="120161024"/>
      </c:barChart>
      <c:catAx>
        <c:axId val="115702784"/>
        <c:scaling>
          <c:orientation val="minMax"/>
        </c:scaling>
        <c:delete val="0"/>
        <c:axPos val="l"/>
        <c:majorTickMark val="none"/>
        <c:minorTickMark val="none"/>
        <c:tickLblPos val="nextTo"/>
        <c:crossAx val="120161024"/>
        <c:crosses val="autoZero"/>
        <c:auto val="1"/>
        <c:lblAlgn val="ctr"/>
        <c:lblOffset val="100"/>
        <c:noMultiLvlLbl val="0"/>
      </c:catAx>
      <c:valAx>
        <c:axId val="12016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5702784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0.19643</cdr:x>
      <cdr:y>0.33393</cdr:y>
    </cdr:from>
    <cdr:to>
      <cdr:x>0.34048</cdr:x>
      <cdr:y>0.4183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1257294" y="2865151"/>
          <a:ext cx="922035" cy="72390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0.20143</cdr:x>
      <cdr:y>0.22904</cdr:y>
    </cdr:from>
    <cdr:to>
      <cdr:x>0.45411</cdr:x>
      <cdr:y>0.30838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1287780" y="1165860"/>
          <a:ext cx="1615440" cy="40386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B38A-7928-42A5-98D2-640A8758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53</cp:revision>
  <cp:lastPrinted>2019-10-28T07:35:00Z</cp:lastPrinted>
  <dcterms:created xsi:type="dcterms:W3CDTF">2019-10-25T11:36:00Z</dcterms:created>
  <dcterms:modified xsi:type="dcterms:W3CDTF">2023-04-18T07:30:00Z</dcterms:modified>
</cp:coreProperties>
</file>