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9645" w:type="dxa"/>
        <w:tblLayout w:type="fixed"/>
        <w:tblLook w:val="04A0"/>
      </w:tblPr>
      <w:tblGrid>
        <w:gridCol w:w="9645"/>
      </w:tblGrid>
      <w:tr w:rsidR="001B13C5" w:rsidTr="0075699E">
        <w:trPr>
          <w:cantSplit/>
          <w:trHeight w:val="149"/>
        </w:trPr>
        <w:tc>
          <w:tcPr>
            <w:tcW w:w="9642" w:type="dxa"/>
            <w:hideMark/>
          </w:tcPr>
          <w:p w:rsidR="001B13C5" w:rsidRDefault="001B13C5" w:rsidP="001B13C5">
            <w:pPr>
              <w:spacing w:after="20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14350" cy="781050"/>
                  <wp:effectExtent l="1905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5" w:rsidRPr="004A7393" w:rsidTr="0075699E">
        <w:trPr>
          <w:trHeight w:val="890"/>
        </w:trPr>
        <w:tc>
          <w:tcPr>
            <w:tcW w:w="9642" w:type="dxa"/>
            <w:hideMark/>
          </w:tcPr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1B13C5" w:rsidRPr="004A7393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1B13C5" w:rsidRDefault="001B13C5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615689" w:rsidRPr="004A7393" w:rsidRDefault="00615689" w:rsidP="001B13C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B13C5" w:rsidRPr="004A7393" w:rsidRDefault="000B3496" w:rsidP="001B13C5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0B349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pict>
                <v:line id="_x0000_s1029" style="position:absolute;left:0;text-align:left;z-index:251660288" from="2.7pt,4.4pt" to="462.45pt,4.4pt" strokeweight="4.5pt">
                  <v:stroke linestyle="thickThin"/>
                </v:line>
              </w:pict>
            </w:r>
          </w:p>
        </w:tc>
      </w:tr>
    </w:tbl>
    <w:p w:rsidR="001B13C5" w:rsidRPr="004A7393" w:rsidRDefault="001B13C5" w:rsidP="001B13C5">
      <w:pPr>
        <w:pStyle w:val="ConsNormal"/>
        <w:ind w:firstLine="0"/>
        <w:jc w:val="center"/>
        <w:rPr>
          <w:rFonts w:ascii="Liberation Serif" w:hAnsi="Liberation Serif" w:cs="Liberation Serif"/>
          <w:b/>
        </w:rPr>
      </w:pPr>
    </w:p>
    <w:p w:rsidR="00615689" w:rsidRDefault="00615689" w:rsidP="001B13C5">
      <w:pPr>
        <w:pStyle w:val="ConsNormal"/>
        <w:ind w:firstLine="0"/>
        <w:jc w:val="center"/>
        <w:rPr>
          <w:rFonts w:ascii="Liberation Serif" w:hAnsi="Liberation Serif" w:cs="Liberation Serif"/>
          <w:b/>
        </w:rPr>
      </w:pPr>
    </w:p>
    <w:p w:rsidR="001B13C5" w:rsidRPr="004A7393" w:rsidRDefault="001B13C5" w:rsidP="001B13C5">
      <w:pPr>
        <w:pStyle w:val="ConsNormal"/>
        <w:ind w:firstLine="0"/>
        <w:jc w:val="center"/>
        <w:rPr>
          <w:rFonts w:ascii="Liberation Serif" w:hAnsi="Liberation Serif" w:cs="Liberation Serif"/>
          <w:b/>
        </w:rPr>
      </w:pPr>
      <w:r w:rsidRPr="004A7393">
        <w:rPr>
          <w:rFonts w:ascii="Liberation Serif" w:hAnsi="Liberation Serif" w:cs="Liberation Serif"/>
          <w:b/>
        </w:rPr>
        <w:t>РЕШЕНИЕ</w:t>
      </w:r>
    </w:p>
    <w:p w:rsidR="001B13C5" w:rsidRPr="00231E31" w:rsidRDefault="001B13C5" w:rsidP="001B13C5">
      <w:pPr>
        <w:rPr>
          <w:rFonts w:ascii="Liberation Serif" w:hAnsi="Liberation Serif"/>
          <w:sz w:val="28"/>
          <w:u w:val="single"/>
        </w:rPr>
      </w:pPr>
      <w:r w:rsidRPr="00231E31">
        <w:rPr>
          <w:rFonts w:ascii="Liberation Serif" w:hAnsi="Liberation Serif"/>
          <w:sz w:val="28"/>
        </w:rPr>
        <w:t xml:space="preserve">от  </w:t>
      </w:r>
      <w:r>
        <w:rPr>
          <w:rFonts w:ascii="Liberation Serif" w:hAnsi="Liberation Serif"/>
          <w:sz w:val="28"/>
        </w:rPr>
        <w:t xml:space="preserve">31 марта </w:t>
      </w:r>
      <w:r w:rsidRPr="00231E31">
        <w:rPr>
          <w:rFonts w:ascii="Liberation Serif" w:hAnsi="Liberation Serif"/>
          <w:sz w:val="28"/>
        </w:rPr>
        <w:t>202</w:t>
      </w:r>
      <w:r>
        <w:rPr>
          <w:rFonts w:ascii="Liberation Serif" w:hAnsi="Liberation Serif"/>
          <w:sz w:val="28"/>
        </w:rPr>
        <w:t>2</w:t>
      </w:r>
      <w:r w:rsidRPr="00231E31">
        <w:rPr>
          <w:rFonts w:ascii="Liberation Serif" w:hAnsi="Liberation Serif"/>
          <w:sz w:val="28"/>
        </w:rPr>
        <w:t xml:space="preserve"> г.                                           </w:t>
      </w:r>
      <w:r>
        <w:rPr>
          <w:rFonts w:ascii="Liberation Serif" w:hAnsi="Liberation Serif"/>
          <w:sz w:val="28"/>
        </w:rPr>
        <w:t xml:space="preserve">  </w:t>
      </w:r>
      <w:r w:rsidRPr="00231E31">
        <w:rPr>
          <w:rFonts w:ascii="Liberation Serif" w:hAnsi="Liberation Serif"/>
          <w:sz w:val="28"/>
        </w:rPr>
        <w:t xml:space="preserve">                                  </w:t>
      </w:r>
      <w:r>
        <w:rPr>
          <w:rFonts w:ascii="Liberation Serif" w:hAnsi="Liberation Serif"/>
          <w:sz w:val="28"/>
        </w:rPr>
        <w:t xml:space="preserve">        </w:t>
      </w:r>
      <w:r w:rsidRPr="00231E31">
        <w:rPr>
          <w:rFonts w:ascii="Liberation Serif" w:hAnsi="Liberation Serif"/>
          <w:sz w:val="28"/>
        </w:rPr>
        <w:t xml:space="preserve">№ </w:t>
      </w:r>
      <w:r w:rsidR="00206076">
        <w:rPr>
          <w:rFonts w:ascii="Liberation Serif" w:hAnsi="Liberation Serif"/>
          <w:sz w:val="28"/>
          <w:lang w:val="en-US"/>
        </w:rPr>
        <w:t>337</w:t>
      </w:r>
      <w:r w:rsidRPr="00231E31">
        <w:rPr>
          <w:rFonts w:ascii="Liberation Serif" w:hAnsi="Liberation Serif"/>
          <w:sz w:val="28"/>
        </w:rPr>
        <w:t xml:space="preserve">                                                                                     </w:t>
      </w:r>
    </w:p>
    <w:p w:rsidR="001B13C5" w:rsidRPr="00231E31" w:rsidRDefault="001B13C5" w:rsidP="001B13C5">
      <w:pPr>
        <w:rPr>
          <w:rFonts w:ascii="Liberation Serif" w:hAnsi="Liberation Serif"/>
          <w:sz w:val="28"/>
        </w:rPr>
      </w:pPr>
      <w:r w:rsidRPr="00231E31">
        <w:rPr>
          <w:rFonts w:ascii="Liberation Serif" w:hAnsi="Liberation Serif"/>
          <w:sz w:val="28"/>
        </w:rPr>
        <w:t xml:space="preserve">с. </w:t>
      </w:r>
      <w:proofErr w:type="spellStart"/>
      <w:r w:rsidRPr="00231E31">
        <w:rPr>
          <w:rFonts w:ascii="Liberation Serif" w:hAnsi="Liberation Serif"/>
          <w:sz w:val="28"/>
        </w:rPr>
        <w:t>Усть</w:t>
      </w:r>
      <w:proofErr w:type="spellEnd"/>
      <w:r w:rsidRPr="00231E31">
        <w:rPr>
          <w:rFonts w:ascii="Liberation Serif" w:hAnsi="Liberation Serif"/>
          <w:sz w:val="28"/>
        </w:rPr>
        <w:t xml:space="preserve"> – </w:t>
      </w:r>
      <w:proofErr w:type="spellStart"/>
      <w:r w:rsidRPr="00231E31">
        <w:rPr>
          <w:rFonts w:ascii="Liberation Serif" w:hAnsi="Liberation Serif"/>
          <w:sz w:val="28"/>
        </w:rPr>
        <w:t>Ницинское</w:t>
      </w:r>
      <w:proofErr w:type="spellEnd"/>
      <w:r w:rsidRPr="00231E31">
        <w:rPr>
          <w:rFonts w:ascii="Liberation Serif" w:hAnsi="Liberation Serif"/>
          <w:sz w:val="28"/>
        </w:rPr>
        <w:t xml:space="preserve"> </w:t>
      </w:r>
    </w:p>
    <w:p w:rsidR="001B13C5" w:rsidRPr="004A7393" w:rsidRDefault="001B13C5" w:rsidP="001B13C5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7350"/>
        </w:tabs>
        <w:rPr>
          <w:rFonts w:ascii="Liberation Serif" w:hAnsi="Liberation Serif" w:cs="Liberation Serif"/>
          <w:b w:val="0"/>
          <w:sz w:val="28"/>
          <w:szCs w:val="28"/>
        </w:rPr>
      </w:pPr>
      <w:r w:rsidRPr="004A7393">
        <w:rPr>
          <w:rFonts w:ascii="Liberation Serif" w:hAnsi="Liberation Serif" w:cs="Liberation Serif"/>
          <w:b w:val="0"/>
          <w:sz w:val="28"/>
          <w:szCs w:val="28"/>
        </w:rPr>
        <w:tab/>
      </w:r>
      <w:r w:rsidRPr="004A7393">
        <w:rPr>
          <w:rFonts w:ascii="Liberation Serif" w:hAnsi="Liberation Serif" w:cs="Liberation Serif"/>
          <w:b w:val="0"/>
          <w:sz w:val="28"/>
          <w:szCs w:val="28"/>
        </w:rPr>
        <w:tab/>
        <w:t xml:space="preserve">          </w:t>
      </w:r>
    </w:p>
    <w:p w:rsidR="001B13C5" w:rsidRPr="00A53E72" w:rsidRDefault="001B13C5" w:rsidP="001B13C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3E72">
        <w:rPr>
          <w:rFonts w:ascii="Liberation Serif" w:hAnsi="Liberation Serif" w:cs="Liberation Serif"/>
          <w:b/>
          <w:i/>
          <w:sz w:val="28"/>
        </w:rPr>
        <w:t xml:space="preserve">Об утверждении  схемы </w:t>
      </w:r>
      <w:proofErr w:type="spellStart"/>
      <w:r w:rsidRPr="00A53E72">
        <w:rPr>
          <w:rFonts w:ascii="Liberation Serif" w:hAnsi="Liberation Serif" w:cs="Liberation Serif"/>
          <w:b/>
          <w:i/>
          <w:sz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b/>
          <w:i/>
          <w:sz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b/>
          <w:i/>
          <w:sz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b/>
          <w:i/>
          <w:sz w:val="28"/>
        </w:rPr>
        <w:t xml:space="preserve"> сельского поселения</w:t>
      </w:r>
    </w:p>
    <w:p w:rsidR="001B13C5" w:rsidRPr="004A7393" w:rsidRDefault="001B13C5" w:rsidP="001B13C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B13C5" w:rsidRDefault="001B13C5" w:rsidP="001B13C5">
      <w:pPr>
        <w:ind w:firstLine="705"/>
        <w:jc w:val="both"/>
        <w:rPr>
          <w:sz w:val="28"/>
          <w:szCs w:val="28"/>
        </w:rPr>
      </w:pPr>
      <w:proofErr w:type="gramStart"/>
      <w:r w:rsidRPr="00A53E72">
        <w:rPr>
          <w:rFonts w:ascii="Liberation Serif" w:hAnsi="Liberation Serif" w:cs="Liberation Serif"/>
          <w:sz w:val="28"/>
          <w:szCs w:val="28"/>
        </w:rPr>
        <w:t xml:space="preserve">Рассмотрев представленную 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Слободо-Туринской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районной территориальной избирательной комиссии схему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поселения, в соответствии со  статьей 18 Федерального закона «Об  основных  гарантиях  избирательных  прав  и  права  на  участие  в  референдуме  граждан   Российской  Федерации», статьей 41 Избирательного кодекса Свердловской области, </w:t>
      </w:r>
      <w:r>
        <w:rPr>
          <w:rFonts w:ascii="Liberation Serif" w:hAnsi="Liberation Serif" w:cs="Liberation Serif"/>
          <w:sz w:val="28"/>
          <w:szCs w:val="28"/>
        </w:rPr>
        <w:t>на основании</w:t>
      </w:r>
      <w:r w:rsidRPr="00A53E72">
        <w:rPr>
          <w:rFonts w:ascii="Liberation Serif" w:hAnsi="Liberation Serif" w:cs="Liberation Serif"/>
          <w:sz w:val="28"/>
          <w:szCs w:val="28"/>
        </w:rPr>
        <w:t xml:space="preserve"> Устава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поселения,</w:t>
      </w:r>
      <w:r>
        <w:rPr>
          <w:rFonts w:ascii="Liberation Serif" w:hAnsi="Liberation Serif" w:cs="Liberation Serif"/>
          <w:sz w:val="28"/>
          <w:szCs w:val="28"/>
        </w:rPr>
        <w:t xml:space="preserve"> с учетом результатов публичных слушаний, состоявшихся 11.01.2022г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  <w:r w:rsidRPr="00A53E72"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53E72">
        <w:rPr>
          <w:sz w:val="28"/>
          <w:szCs w:val="28"/>
        </w:rPr>
        <w:t xml:space="preserve">  </w:t>
      </w:r>
    </w:p>
    <w:p w:rsidR="001B13C5" w:rsidRPr="00A53E72" w:rsidRDefault="001B13C5" w:rsidP="001B13C5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B13C5" w:rsidRPr="004A7393" w:rsidRDefault="001B13C5" w:rsidP="001B13C5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739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B13C5" w:rsidRPr="00A53E72" w:rsidRDefault="001B13C5" w:rsidP="001B13C5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 xml:space="preserve">Утвердить схему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десятимандатного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избирательного округа для проведения выборов депутатов Думы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  (Приложение 1) и ее графическое изображение (Приложение 2).</w:t>
      </w:r>
    </w:p>
    <w:p w:rsidR="001B13C5" w:rsidRPr="00A53E72" w:rsidRDefault="001B13C5" w:rsidP="001B13C5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 xml:space="preserve">         2.   Опубликовать настоящее решение в «Информационном вестнике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A53E7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53E72">
        <w:rPr>
          <w:rFonts w:ascii="Liberation Serif" w:hAnsi="Liberation Serif" w:cs="Liberation Serif"/>
          <w:sz w:val="28"/>
          <w:szCs w:val="28"/>
        </w:rPr>
        <w:t xml:space="preserve"> сельского поселения в  информационно-телекоммуникационной сети «Интернет»: </w:t>
      </w:r>
      <w:hyperlink r:id="rId7" w:history="1">
        <w:r w:rsidRPr="00A53E72">
          <w:rPr>
            <w:rStyle w:val="a6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Pr="00A53E72">
        <w:rPr>
          <w:rFonts w:ascii="Liberation Serif" w:hAnsi="Liberation Serif" w:cs="Liberation Serif"/>
          <w:sz w:val="28"/>
          <w:szCs w:val="28"/>
        </w:rPr>
        <w:t>.</w:t>
      </w:r>
    </w:p>
    <w:p w:rsidR="001B13C5" w:rsidRPr="00A53E72" w:rsidRDefault="001B13C5" w:rsidP="001B13C5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3E72">
        <w:rPr>
          <w:rFonts w:ascii="Liberation Serif" w:hAnsi="Liberation Serif" w:cs="Liberation Serif"/>
          <w:sz w:val="28"/>
          <w:szCs w:val="28"/>
        </w:rPr>
        <w:tab/>
        <w:t xml:space="preserve">3.  </w:t>
      </w:r>
      <w:proofErr w:type="gramStart"/>
      <w:r w:rsidRPr="00A53E7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53E72"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постоянную комиссию по регламенту, социальным вопросам, местному самоуправлению (Голяков В.А.).</w:t>
      </w:r>
    </w:p>
    <w:p w:rsidR="001B13C5" w:rsidRPr="004A7393" w:rsidRDefault="001B13C5" w:rsidP="001B13C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5070"/>
        <w:gridCol w:w="4768"/>
      </w:tblGrid>
      <w:tr w:rsidR="001B13C5" w:rsidRPr="004A7393" w:rsidTr="0075699E">
        <w:tc>
          <w:tcPr>
            <w:tcW w:w="5070" w:type="dxa"/>
            <w:shd w:val="clear" w:color="auto" w:fill="auto"/>
          </w:tcPr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________________Ю.И. Востриков              </w:t>
            </w:r>
          </w:p>
        </w:tc>
        <w:tc>
          <w:tcPr>
            <w:tcW w:w="4768" w:type="dxa"/>
            <w:shd w:val="clear" w:color="auto" w:fill="auto"/>
          </w:tcPr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Глава</w:t>
            </w: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>Усть-Ницинского</w:t>
            </w:r>
            <w:proofErr w:type="spellEnd"/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B13C5" w:rsidRPr="004A7393" w:rsidRDefault="001B13C5" w:rsidP="001B13C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        сельского поселения</w:t>
            </w: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B13C5" w:rsidRPr="004A7393" w:rsidRDefault="001B13C5" w:rsidP="001B13C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A7393">
              <w:rPr>
                <w:rFonts w:ascii="Liberation Serif" w:hAnsi="Liberation Serif" w:cs="Liberation Serif"/>
                <w:sz w:val="28"/>
                <w:szCs w:val="28"/>
              </w:rPr>
              <w:t xml:space="preserve">          ______________ А.С. Лукин</w:t>
            </w:r>
          </w:p>
        </w:tc>
      </w:tr>
    </w:tbl>
    <w:p w:rsidR="00BD7FF3" w:rsidRDefault="00BD7FF3" w:rsidP="00BD7FF3">
      <w:pPr>
        <w:rPr>
          <w:rFonts w:ascii="Times New Roman" w:hAnsi="Times New Roman"/>
          <w:sz w:val="28"/>
          <w:szCs w:val="28"/>
        </w:rPr>
        <w:sectPr w:rsidR="00BD7FF3" w:rsidSect="00615689">
          <w:pgSz w:w="11906" w:h="16838"/>
          <w:pgMar w:top="709" w:right="851" w:bottom="993" w:left="1440" w:header="709" w:footer="709" w:gutter="0"/>
          <w:cols w:space="720"/>
        </w:sectPr>
      </w:pPr>
    </w:p>
    <w:p w:rsidR="00BD7FF3" w:rsidRDefault="00BD7FF3" w:rsidP="00BD7FF3">
      <w:pPr>
        <w:pStyle w:val="5"/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7530A">
        <w:rPr>
          <w:sz w:val="28"/>
          <w:szCs w:val="28"/>
        </w:rPr>
        <w:t>№1</w:t>
      </w:r>
    </w:p>
    <w:p w:rsidR="00BD7FF3" w:rsidRDefault="00BD7FF3" w:rsidP="00BD7FF3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D7FF3" w:rsidRPr="00206076" w:rsidRDefault="00BD7FF3" w:rsidP="00BD7FF3">
      <w:pPr>
        <w:pStyle w:val="5"/>
        <w:ind w:left="450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1B13C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1B13C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7530A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г. № </w:t>
      </w:r>
      <w:r w:rsidR="00206076">
        <w:rPr>
          <w:sz w:val="28"/>
          <w:szCs w:val="28"/>
          <w:lang w:val="en-US"/>
        </w:rPr>
        <w:t>337</w:t>
      </w:r>
    </w:p>
    <w:p w:rsidR="00BD7FF3" w:rsidRDefault="00BD7FF3" w:rsidP="00BD7FF3"/>
    <w:p w:rsidR="00BD7FF3" w:rsidRDefault="00BD7FF3" w:rsidP="00BD7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D7FF3" w:rsidRDefault="00BD7FF3" w:rsidP="00BD7F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</w:t>
      </w:r>
    </w:p>
    <w:p w:rsidR="00BD7FF3" w:rsidRDefault="00BD7FF3" w:rsidP="00BD7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7FF3" w:rsidRDefault="00BD7FF3" w:rsidP="00BD7FF3">
      <w:pPr>
        <w:rPr>
          <w:sz w:val="28"/>
          <w:szCs w:val="28"/>
        </w:rPr>
      </w:pP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избирателей на 1 </w:t>
      </w:r>
      <w:r w:rsidR="004F57B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2022 года в </w:t>
      </w:r>
      <w:proofErr w:type="spellStart"/>
      <w:r>
        <w:rPr>
          <w:sz w:val="28"/>
          <w:szCs w:val="28"/>
        </w:rPr>
        <w:t>Усть-Ницинском</w:t>
      </w:r>
      <w:proofErr w:type="spellEnd"/>
      <w:r>
        <w:rPr>
          <w:sz w:val="28"/>
          <w:szCs w:val="28"/>
        </w:rPr>
        <w:t xml:space="preserve"> сельском поселении – 2642 избирателей</w:t>
      </w: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Число образованных избирательных округов – 1;</w:t>
      </w:r>
    </w:p>
    <w:p w:rsidR="00BD7FF3" w:rsidRDefault="00BD7FF3" w:rsidP="00BD7F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в округе на 1 депутатский мандат – 265</w:t>
      </w:r>
    </w:p>
    <w:p w:rsidR="00BD7FF3" w:rsidRDefault="00BD7FF3" w:rsidP="00BD7FF3">
      <w:pPr>
        <w:ind w:left="360"/>
        <w:rPr>
          <w:sz w:val="28"/>
          <w:szCs w:val="28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38"/>
        <w:gridCol w:w="3402"/>
        <w:gridCol w:w="5386"/>
        <w:gridCol w:w="3969"/>
      </w:tblGrid>
      <w:tr w:rsidR="00BD7FF3" w:rsidTr="00BD7FF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BD7FF3" w:rsidRDefault="00BD7FF3" w:rsidP="00BD7FF3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округа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Границы</w:t>
            </w:r>
          </w:p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избирательного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>
            <w:pPr>
              <w:ind w:right="-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:rsidR="00BD7FF3" w:rsidRDefault="00BD7FF3">
            <w:pPr>
              <w:ind w:right="-102"/>
              <w:jc w:val="center"/>
              <w:rPr>
                <w:sz w:val="28"/>
              </w:rPr>
            </w:pPr>
            <w:r>
              <w:rPr>
                <w:sz w:val="28"/>
              </w:rPr>
              <w:t>избирателей в округе</w:t>
            </w:r>
          </w:p>
        </w:tc>
      </w:tr>
      <w:tr w:rsidR="00BD7FF3" w:rsidTr="00BD7FF3">
        <w:trPr>
          <w:cantSplit/>
          <w:trHeight w:val="18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3" w:rsidRDefault="00BD7F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D7FF3" w:rsidRDefault="00BD7FF3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3" w:rsidRDefault="00BD7FF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Усть-Ницинский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десятимандатный</w:t>
            </w:r>
            <w:proofErr w:type="spellEnd"/>
            <w:r>
              <w:rPr>
                <w:sz w:val="28"/>
              </w:rPr>
              <w:t xml:space="preserve"> избирательный округ</w:t>
            </w:r>
          </w:p>
          <w:p w:rsidR="00BD7FF3" w:rsidRDefault="00BD7FF3">
            <w:pPr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1A3549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Усть-Ницинское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Бурмакина, деревня Голышева,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Ерзовка, деревня Ермакова, деревня Ермолина, 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деревня Замотаева, деревня Зуева, деревня Ивановка, деревня Калугина, деревня Лукина, деревня Мельникова, деревня Мельничная, деревня Черёмнова, поселок Рассвет,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Липчинское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F3" w:rsidRDefault="00BD7FF3" w:rsidP="001A3549">
            <w:pPr>
              <w:ind w:left="-1196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  <w:r w:rsidR="001A3549">
              <w:rPr>
                <w:sz w:val="28"/>
              </w:rPr>
              <w:t>2</w:t>
            </w:r>
          </w:p>
        </w:tc>
      </w:tr>
    </w:tbl>
    <w:p w:rsidR="00BD7FF3" w:rsidRDefault="00BD7FF3" w:rsidP="00BD7FF3">
      <w:pPr>
        <w:jc w:val="center"/>
        <w:rPr>
          <w:sz w:val="28"/>
          <w:szCs w:val="28"/>
        </w:rPr>
      </w:pPr>
    </w:p>
    <w:p w:rsidR="00BD7FF3" w:rsidRDefault="00BD7FF3" w:rsidP="00BD7FF3"/>
    <w:p w:rsidR="00BD7FF3" w:rsidRDefault="00BD7FF3" w:rsidP="00BD7FF3"/>
    <w:p w:rsidR="00BD7FF3" w:rsidRDefault="00BD7FF3" w:rsidP="00BD7FF3">
      <w:pPr>
        <w:pStyle w:val="5"/>
        <w:ind w:firstLine="4500"/>
        <w:jc w:val="center"/>
      </w:pPr>
    </w:p>
    <w:p w:rsidR="00A905FD" w:rsidRDefault="00A905FD" w:rsidP="00A905FD">
      <w:pPr>
        <w:pStyle w:val="5"/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905FD" w:rsidRDefault="00A905FD" w:rsidP="00A905FD">
      <w:pPr>
        <w:pStyle w:val="5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05FD" w:rsidRPr="00206076" w:rsidRDefault="00A905FD" w:rsidP="00A905FD">
      <w:pPr>
        <w:pStyle w:val="5"/>
        <w:ind w:left="450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1B13C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7530A">
        <w:rPr>
          <w:sz w:val="28"/>
          <w:szCs w:val="28"/>
        </w:rPr>
        <w:t>0</w:t>
      </w:r>
      <w:r w:rsidR="001B13C5">
        <w:rPr>
          <w:sz w:val="28"/>
          <w:szCs w:val="28"/>
        </w:rPr>
        <w:t>3</w:t>
      </w:r>
      <w:r>
        <w:rPr>
          <w:sz w:val="28"/>
          <w:szCs w:val="28"/>
        </w:rPr>
        <w:t>.2022 года №</w:t>
      </w:r>
      <w:r w:rsidR="00206076">
        <w:rPr>
          <w:sz w:val="28"/>
          <w:szCs w:val="28"/>
          <w:lang w:val="en-US"/>
        </w:rPr>
        <w:t xml:space="preserve"> 337</w:t>
      </w:r>
    </w:p>
    <w:p w:rsidR="00A905FD" w:rsidRDefault="00A905FD" w:rsidP="00A905FD"/>
    <w:p w:rsidR="00A905FD" w:rsidRDefault="00A905FD" w:rsidP="00A905FD"/>
    <w:p w:rsidR="00A905FD" w:rsidRDefault="00A905FD" w:rsidP="00A905FD">
      <w:pPr>
        <w:jc w:val="center"/>
        <w:rPr>
          <w:sz w:val="28"/>
          <w:szCs w:val="28"/>
        </w:rPr>
      </w:pPr>
      <w:r w:rsidRPr="00E76145">
        <w:rPr>
          <w:sz w:val="28"/>
          <w:szCs w:val="28"/>
        </w:rPr>
        <w:t xml:space="preserve">Графическое изображение схемы </w:t>
      </w:r>
      <w:proofErr w:type="spellStart"/>
      <w:r w:rsidRPr="00E76145">
        <w:rPr>
          <w:sz w:val="28"/>
          <w:szCs w:val="28"/>
        </w:rPr>
        <w:t>десятимандатного</w:t>
      </w:r>
      <w:proofErr w:type="spellEnd"/>
      <w:r w:rsidRPr="00E76145">
        <w:rPr>
          <w:sz w:val="28"/>
          <w:szCs w:val="28"/>
        </w:rPr>
        <w:t xml:space="preserve"> избирательного округа </w:t>
      </w:r>
    </w:p>
    <w:p w:rsidR="00A905FD" w:rsidRPr="00E76145" w:rsidRDefault="00A905FD" w:rsidP="00A905FD">
      <w:pPr>
        <w:jc w:val="center"/>
        <w:rPr>
          <w:sz w:val="28"/>
          <w:szCs w:val="28"/>
        </w:rPr>
      </w:pPr>
      <w:r w:rsidRPr="00E76145">
        <w:rPr>
          <w:sz w:val="28"/>
          <w:szCs w:val="28"/>
        </w:rPr>
        <w:t xml:space="preserve">для проведения выборов депутатов Думы </w:t>
      </w:r>
      <w:proofErr w:type="spellStart"/>
      <w:r w:rsidRPr="00E76145">
        <w:rPr>
          <w:sz w:val="28"/>
          <w:szCs w:val="28"/>
        </w:rPr>
        <w:t>Усть-Ницинского</w:t>
      </w:r>
      <w:proofErr w:type="spellEnd"/>
      <w:r w:rsidRPr="00E76145">
        <w:rPr>
          <w:sz w:val="28"/>
          <w:szCs w:val="28"/>
        </w:rPr>
        <w:t xml:space="preserve"> сельского поселения</w:t>
      </w:r>
    </w:p>
    <w:p w:rsidR="00BD7FF3" w:rsidRDefault="00BD7FF3" w:rsidP="00BD7FF3"/>
    <w:p w:rsidR="00124A51" w:rsidRDefault="00A905FD" w:rsidP="00A905FD">
      <w:pPr>
        <w:jc w:val="center"/>
      </w:pPr>
      <w:r w:rsidRPr="00A905FD">
        <w:rPr>
          <w:noProof/>
        </w:rPr>
        <w:drawing>
          <wp:inline distT="0" distB="0" distL="0" distR="0">
            <wp:extent cx="5955030" cy="3507951"/>
            <wp:effectExtent l="19050" t="0" r="7620" b="0"/>
            <wp:docPr id="2" name="Рисунок 1" descr="Z:\Ирзутова А.Н\усть-ницинское СП схема единого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рзутова А.Н\усть-ницинское СП схема единого окр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23" cy="351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A51" w:rsidSect="00BD7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9E4"/>
    <w:multiLevelType w:val="hybridMultilevel"/>
    <w:tmpl w:val="4472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3E47"/>
    <w:multiLevelType w:val="hybridMultilevel"/>
    <w:tmpl w:val="D7686F4C"/>
    <w:lvl w:ilvl="0" w:tplc="555AE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22B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8ED4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9A93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276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1C62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77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A2F0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2CEF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7FF3"/>
    <w:rsid w:val="000B3496"/>
    <w:rsid w:val="0018060A"/>
    <w:rsid w:val="001A3549"/>
    <w:rsid w:val="001B13C5"/>
    <w:rsid w:val="00206076"/>
    <w:rsid w:val="00247534"/>
    <w:rsid w:val="0042397D"/>
    <w:rsid w:val="004F57BE"/>
    <w:rsid w:val="00615689"/>
    <w:rsid w:val="007C2EA6"/>
    <w:rsid w:val="00874E08"/>
    <w:rsid w:val="00A905FD"/>
    <w:rsid w:val="00AA1505"/>
    <w:rsid w:val="00B42A91"/>
    <w:rsid w:val="00BC3447"/>
    <w:rsid w:val="00BD7FF3"/>
    <w:rsid w:val="00DD2450"/>
    <w:rsid w:val="00E3112F"/>
    <w:rsid w:val="00F7530A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F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7FF3"/>
    <w:pPr>
      <w:keepNext/>
      <w:outlineLvl w:val="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7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BD7FF3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customStyle="1" w:styleId="a3">
    <w:name w:val="Документ ИКСО"/>
    <w:basedOn w:val="a"/>
    <w:rsid w:val="00BD7FF3"/>
    <w:pPr>
      <w:spacing w:before="120"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90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1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1B13C5"/>
    <w:rPr>
      <w:color w:val="0000FF"/>
      <w:u w:val="single"/>
    </w:rPr>
  </w:style>
  <w:style w:type="paragraph" w:customStyle="1" w:styleId="ConsNormal">
    <w:name w:val="ConsNormal"/>
    <w:rsid w:val="001B13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A6AD-BA1B-4F72-9E48-0C41C27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tikpr26</dc:creator>
  <cp:lastModifiedBy>duma1</cp:lastModifiedBy>
  <cp:revision>14</cp:revision>
  <cp:lastPrinted>2022-03-31T12:01:00Z</cp:lastPrinted>
  <dcterms:created xsi:type="dcterms:W3CDTF">2022-03-23T08:50:00Z</dcterms:created>
  <dcterms:modified xsi:type="dcterms:W3CDTF">2022-03-31T12:01:00Z</dcterms:modified>
</cp:coreProperties>
</file>