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D30094" w:rsidTr="00106036">
        <w:trPr>
          <w:cantSplit/>
          <w:trHeight w:val="1333"/>
        </w:trPr>
        <w:tc>
          <w:tcPr>
            <w:tcW w:w="9145" w:type="dxa"/>
            <w:hideMark/>
          </w:tcPr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C02AA" wp14:editId="761EFA0A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094" w:rsidTr="00106036">
        <w:trPr>
          <w:trHeight w:val="1725"/>
        </w:trPr>
        <w:tc>
          <w:tcPr>
            <w:tcW w:w="9145" w:type="dxa"/>
            <w:hideMark/>
          </w:tcPr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D30094" w:rsidRDefault="00D30094" w:rsidP="001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64742" wp14:editId="2E28518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D30094" w:rsidRDefault="00D30094" w:rsidP="00D30094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D30094" w:rsidRPr="00002E36" w:rsidRDefault="00D30094" w:rsidP="00D30094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3B16DD">
        <w:rPr>
          <w:rFonts w:ascii="Times New Roman" w:hAnsi="Times New Roman"/>
          <w:u w:val="single"/>
        </w:rPr>
        <w:t>26</w:t>
      </w:r>
      <w:bookmarkStart w:id="0" w:name="_GoBack"/>
      <w:bookmarkEnd w:id="0"/>
      <w:r>
        <w:rPr>
          <w:rFonts w:ascii="Times New Roman" w:hAnsi="Times New Roman"/>
          <w:u w:val="single"/>
        </w:rPr>
        <w:t>.12.2017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3B16DD"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ab/>
      </w:r>
    </w:p>
    <w:p w:rsidR="00D30094" w:rsidRDefault="00D30094" w:rsidP="00D30094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</w:p>
    <w:p w:rsidR="00D30094" w:rsidRPr="000D2A14" w:rsidRDefault="00D30094" w:rsidP="00D300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0094" w:rsidRPr="000D2A14" w:rsidRDefault="00D30094" w:rsidP="00D300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D30094" w:rsidRPr="000D2A14" w:rsidRDefault="00D30094" w:rsidP="00D300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D30094" w:rsidRPr="000D2A14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094" w:rsidRPr="000D2A14" w:rsidRDefault="00D30094" w:rsidP="00D3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B0A2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6B0A2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Свердловской области от 13.04.2017 г.  № 37</w:t>
      </w:r>
      <w:r w:rsidRPr="006B0A20">
        <w:rPr>
          <w:rFonts w:ascii="Times New Roman" w:hAnsi="Times New Roman"/>
          <w:sz w:val="28"/>
          <w:szCs w:val="28"/>
        </w:rPr>
        <w:t xml:space="preserve">-ОЗ «О </w:t>
      </w:r>
      <w:r>
        <w:rPr>
          <w:rFonts w:ascii="Times New Roman" w:hAnsi="Times New Roman"/>
          <w:sz w:val="28"/>
          <w:szCs w:val="28"/>
        </w:rPr>
        <w:t>внесении изменений в Закон Свердловской области «О границах муниципальных образований, расположенных  на территории Свердловской области»,  от 29.06.2017 № 69-ОЗ «О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Закон Свердловской области  «О границах </w:t>
      </w:r>
      <w:proofErr w:type="gramStart"/>
      <w:r>
        <w:rPr>
          <w:rFonts w:ascii="Times New Roman" w:hAnsi="Times New Roman"/>
          <w:sz w:val="28"/>
          <w:szCs w:val="28"/>
        </w:rPr>
        <w:t>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</w:t>
      </w:r>
      <w:r w:rsidRPr="006B0A20">
        <w:rPr>
          <w:rFonts w:ascii="Times New Roman" w:hAnsi="Times New Roman"/>
          <w:sz w:val="28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>
        <w:rPr>
          <w:rFonts w:ascii="Times New Roman" w:hAnsi="Times New Roman"/>
          <w:color w:val="FF0000"/>
          <w:sz w:val="28"/>
          <w:szCs w:val="28"/>
        </w:rPr>
        <w:t>25</w:t>
      </w:r>
      <w:r w:rsidRPr="00C1326F">
        <w:rPr>
          <w:rFonts w:ascii="Times New Roman" w:hAnsi="Times New Roman"/>
          <w:color w:val="FF0000"/>
          <w:sz w:val="28"/>
          <w:szCs w:val="28"/>
        </w:rPr>
        <w:t>.12.2017 г.</w:t>
      </w:r>
      <w:r w:rsidRPr="000D2A14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  <w:proofErr w:type="gramEnd"/>
    </w:p>
    <w:p w:rsidR="00D30094" w:rsidRPr="000D2A14" w:rsidRDefault="00D30094" w:rsidP="00D300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D30094" w:rsidRPr="004E1CF5" w:rsidRDefault="00D30094" w:rsidP="00D3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1CF5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4E1CF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4E1CF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4E1CF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4E1CF5"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 w:rsidRPr="004E1CF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0" w:history="1">
        <w:r w:rsidRPr="004E1CF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Pr="004E1CF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1" w:history="1">
        <w:r w:rsidRPr="004E1CF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Pr="004E1CF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2" w:history="1">
        <w:r w:rsidRPr="004E1CF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Pr="004E1CF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3" w:history="1">
        <w:r w:rsidRPr="004E1CF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Pr="004E1CF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4E1CF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30094" w:rsidRPr="004E1CF5" w:rsidRDefault="00D30094" w:rsidP="00D30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         1.1   пункты  2, 3  статьи 3  главы 1 изложить в новой редакции:</w:t>
      </w:r>
    </w:p>
    <w:p w:rsidR="00D30094" w:rsidRPr="004E1CF5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  «2. </w:t>
      </w:r>
      <w:r w:rsidRPr="004E1CF5">
        <w:rPr>
          <w:rFonts w:ascii="Times New Roman" w:eastAsiaTheme="minorHAnsi" w:hAnsi="Times New Roman"/>
          <w:sz w:val="28"/>
          <w:szCs w:val="28"/>
        </w:rPr>
        <w:t xml:space="preserve">В состав территории Усть-Ницинского сельского поселения входят населенные пункты: село Усть-Ницинское, деревня Бурмакина, деревня Голышева, деревня Голякова, деревня </w:t>
      </w:r>
      <w:proofErr w:type="spellStart"/>
      <w:r w:rsidRPr="004E1CF5">
        <w:rPr>
          <w:rFonts w:ascii="Times New Roman" w:eastAsiaTheme="minorHAnsi" w:hAnsi="Times New Roman"/>
          <w:sz w:val="28"/>
          <w:szCs w:val="28"/>
        </w:rPr>
        <w:t>Елкина</w:t>
      </w:r>
      <w:proofErr w:type="spellEnd"/>
      <w:r w:rsidRPr="004E1CF5">
        <w:rPr>
          <w:rFonts w:ascii="Times New Roman" w:eastAsiaTheme="minorHAnsi" w:hAnsi="Times New Roman"/>
          <w:sz w:val="28"/>
          <w:szCs w:val="28"/>
        </w:rPr>
        <w:t xml:space="preserve">, деревня Ерзовка, деревня Ермакова, деревня Ермолина, деревня Жирякова, деревня Замотаева, деревня Зуева, деревня Ивановка, деревня Калугина, деревня Лукина, деревня Мельникова, деревня Мельничная, деревня </w:t>
      </w:r>
      <w:proofErr w:type="spellStart"/>
      <w:r w:rsidRPr="004E1CF5">
        <w:rPr>
          <w:rFonts w:ascii="Times New Roman" w:eastAsiaTheme="minorHAnsi" w:hAnsi="Times New Roman"/>
          <w:sz w:val="28"/>
          <w:szCs w:val="28"/>
        </w:rPr>
        <w:t>Черёмнова</w:t>
      </w:r>
      <w:proofErr w:type="spellEnd"/>
      <w:r w:rsidRPr="004E1CF5">
        <w:rPr>
          <w:rFonts w:ascii="Times New Roman" w:eastAsiaTheme="minorHAnsi" w:hAnsi="Times New Roman"/>
          <w:sz w:val="28"/>
          <w:szCs w:val="28"/>
        </w:rPr>
        <w:t>, поселок Рассвет, село Краснослободское, село Липчинское.</w:t>
      </w:r>
    </w:p>
    <w:p w:rsidR="00D30094" w:rsidRPr="004E1CF5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eastAsiaTheme="minorHAnsi" w:hAnsi="Times New Roman"/>
          <w:sz w:val="28"/>
          <w:szCs w:val="28"/>
        </w:rPr>
        <w:t>3.Административным центром Усть-Ницинского сельского поселения является село Усть-Ницинское, в котором находится представительный орган этого сельского поселения</w:t>
      </w:r>
      <w:proofErr w:type="gramStart"/>
      <w:r w:rsidRPr="004E1CF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30094" w:rsidRPr="004E1CF5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eastAsiaTheme="minorHAnsi" w:hAnsi="Times New Roman"/>
          <w:sz w:val="28"/>
          <w:szCs w:val="28"/>
        </w:rPr>
        <w:t xml:space="preserve">1.2 </w:t>
      </w:r>
      <w:r>
        <w:rPr>
          <w:rFonts w:ascii="Times New Roman" w:eastAsiaTheme="minorHAnsi" w:hAnsi="Times New Roman"/>
          <w:sz w:val="28"/>
          <w:szCs w:val="28"/>
        </w:rPr>
        <w:t>абзац первый пункта 8 статьи 43 главы 5</w:t>
      </w:r>
      <w:r w:rsidRPr="004E1CF5">
        <w:rPr>
          <w:rFonts w:ascii="Times New Roman" w:eastAsiaTheme="minorHAnsi" w:hAnsi="Times New Roman"/>
          <w:sz w:val="28"/>
          <w:szCs w:val="28"/>
        </w:rPr>
        <w:t xml:space="preserve">  изложить в следующей редакции:</w:t>
      </w:r>
    </w:p>
    <w:p w:rsidR="00D30094" w:rsidRPr="004E1CF5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«8</w:t>
      </w:r>
      <w:r w:rsidRPr="004E1CF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4E1CF5">
        <w:rPr>
          <w:rFonts w:ascii="Times New Roman" w:eastAsiaTheme="minorHAnsi" w:hAnsi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 изменений</w:t>
      </w:r>
      <w:proofErr w:type="gramEnd"/>
      <w:r w:rsidRPr="004E1CF5">
        <w:rPr>
          <w:rFonts w:ascii="Times New Roman" w:eastAsiaTheme="minorHAnsi" w:hAnsi="Times New Roman"/>
          <w:sz w:val="28"/>
          <w:szCs w:val="28"/>
        </w:rPr>
        <w:t xml:space="preserve"> и дополнений в Устав поселения</w:t>
      </w:r>
      <w:proofErr w:type="gramStart"/>
      <w:r w:rsidRPr="004E1CF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30094" w:rsidRPr="004E1CF5" w:rsidRDefault="00D30094" w:rsidP="00D3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eastAsiaTheme="minorHAnsi" w:hAnsi="Times New Roman"/>
          <w:sz w:val="28"/>
          <w:szCs w:val="28"/>
        </w:rPr>
        <w:t>1.3  в пункте 7 статьи 43 главы 5  слова 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4E1CF5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4E1CF5">
        <w:rPr>
          <w:rFonts w:ascii="Times New Roman" w:eastAsiaTheme="minorHAnsi" w:hAnsi="Times New Roman"/>
          <w:sz w:val="28"/>
          <w:szCs w:val="28"/>
        </w:rPr>
        <w:t xml:space="preserve">  заменить словами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E1CF5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4E1CF5">
        <w:rPr>
          <w:rFonts w:ascii="Times New Roman" w:eastAsiaTheme="minorHAnsi" w:hAnsi="Times New Roman"/>
          <w:sz w:val="28"/>
          <w:szCs w:val="28"/>
        </w:rPr>
        <w:t>.</w:t>
      </w:r>
    </w:p>
    <w:p w:rsidR="00D30094" w:rsidRPr="004E1CF5" w:rsidRDefault="00D30094" w:rsidP="00D30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D30094" w:rsidRPr="004E1CF5" w:rsidRDefault="00D30094" w:rsidP="00D30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>3. Направить настоящее решение на государственную регистрацию</w:t>
      </w:r>
      <w:r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D30094" w:rsidRDefault="00D30094" w:rsidP="00D30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1CF5">
        <w:rPr>
          <w:rFonts w:ascii="Times New Roman" w:hAnsi="Times New Roman"/>
          <w:sz w:val="28"/>
          <w:szCs w:val="28"/>
        </w:rPr>
        <w:t xml:space="preserve">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4" w:history="1">
        <w:r w:rsidRPr="009F373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F37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F3739"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Pr="004E1CF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D30094" w:rsidRPr="00F1103C" w:rsidTr="00106036">
        <w:tc>
          <w:tcPr>
            <w:tcW w:w="4759" w:type="dxa"/>
            <w:shd w:val="clear" w:color="auto" w:fill="auto"/>
          </w:tcPr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D30094" w:rsidRDefault="00D30094" w:rsidP="0010603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D30094" w:rsidRPr="00713F4D" w:rsidRDefault="00D30094" w:rsidP="00106036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D30094" w:rsidRPr="00C1326F" w:rsidRDefault="00D30094" w:rsidP="00106036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244D47" w:rsidRDefault="00244D47"/>
    <w:sectPr w:rsidR="0024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4"/>
    <w:rsid w:val="00244D47"/>
    <w:rsid w:val="003B16DD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009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300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009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300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7797A8C3B2F9D5798D1D60F3BEFDBA1B373793AFAA4G6L7I" TargetMode="External"/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34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33" Type="http://schemas.openxmlformats.org/officeDocument/2006/relationships/hyperlink" Target="consultantplus://offline/ref=484445DA068B97B761F3DB59C5D83D32DA8BD1FAAB084D7BCF8738EDDCCD58DD4365BD42FDCBA11C533806nB1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32" Type="http://schemas.openxmlformats.org/officeDocument/2006/relationships/hyperlink" Target="consultantplus://offline/ref=484445DA068B97B761F3DB59C5D83D32DA8BD1FAAB0E4B7BCE8738EDDCCD58DD4365BD42FDCBA11C533806nB19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hyperlink" Target="consultantplus://offline/ref=484445DA068B97B761F3DB59C5D83D32DA8BD1F9A2084A7BC8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hyperlink" Target="consultantplus://offline/ref=484445DA068B97B761F3DB59C5D83D32DA8BD1F9A30F4976CF8738EDDCCD58DD4365BD42FDCBA11C533806nB19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2017-12-26T11:58:00Z</cp:lastPrinted>
  <dcterms:created xsi:type="dcterms:W3CDTF">2017-12-25T05:01:00Z</dcterms:created>
  <dcterms:modified xsi:type="dcterms:W3CDTF">2017-12-26T11:58:00Z</dcterms:modified>
</cp:coreProperties>
</file>